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62" w:rsidRPr="00483CE6" w:rsidRDefault="001B4B62" w:rsidP="001B4B62">
      <w:pPr>
        <w:spacing w:after="240" w:line="276" w:lineRule="auto"/>
        <w:jc w:val="center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ESTUDO TÉCNICO PRELIMINAR – ETP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1 – Responsável pela elaboração do ETP:</w:t>
      </w:r>
    </w:p>
    <w:p w:rsidR="001B4B62" w:rsidRPr="00483CE6" w:rsidRDefault="001B4B62" w:rsidP="001B4B62">
      <w:pPr>
        <w:spacing w:before="1" w:line="278" w:lineRule="auto"/>
        <w:ind w:left="119" w:right="2195"/>
        <w:rPr>
          <w:rFonts w:ascii="Arial" w:hAnsi="Arial" w:cs="Arial"/>
          <w:bCs/>
          <w:spacing w:val="-6"/>
          <w:sz w:val="24"/>
          <w:szCs w:val="24"/>
        </w:rPr>
      </w:pPr>
      <w:r w:rsidRPr="00483CE6">
        <w:rPr>
          <w:rFonts w:ascii="Century Gothic" w:hAnsi="Century Gothic" w:cs="Arial"/>
        </w:rPr>
        <w:t>▪ Autoridade responsável pela formalização da demanda: Alcione Januaria T.da Silveira Secretaria Administrativo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2 – Descrição da necessidade da contratação: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lang w:bidi="pt-PT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lang w:bidi="pt-PT"/>
        </w:rPr>
      </w:pPr>
      <w:r w:rsidRPr="00483CE6">
        <w:rPr>
          <w:rFonts w:ascii="Century Gothic" w:hAnsi="Century Gothic" w:cs="Arial"/>
          <w:lang w:bidi="pt-PT"/>
        </w:rPr>
        <w:tab/>
        <w:t xml:space="preserve">O Município de Santo Antonio do Grama, conta com a delegação do </w:t>
      </w:r>
      <w:r w:rsidRPr="00483CE6">
        <w:rPr>
          <w:rFonts w:ascii="Arial" w:hAnsi="Arial" w:cs="Arial"/>
        </w:rPr>
        <w:t xml:space="preserve">, </w:t>
      </w:r>
      <w:r w:rsidRPr="00483CE6">
        <w:rPr>
          <w:rFonts w:ascii="Arial" w:hAnsi="Arial" w:cs="Arial"/>
          <w:b/>
          <w:bCs/>
        </w:rPr>
        <w:t xml:space="preserve">delegação do MUNICÍPIO ao CONSÓRCIO, </w:t>
      </w:r>
      <w:r w:rsidRPr="00483CE6">
        <w:rPr>
          <w:rFonts w:ascii="Arial" w:hAnsi="Arial" w:cs="Arial"/>
          <w:bCs/>
        </w:rPr>
        <w:t xml:space="preserve">da gestão associada de </w:t>
      </w:r>
      <w:r w:rsidRPr="00483CE6">
        <w:t>objeto</w:t>
      </w:r>
      <w:r w:rsidRPr="00483CE6">
        <w:rPr>
          <w:spacing w:val="15"/>
        </w:rPr>
        <w:t xml:space="preserve"> o repasse pelo município p</w:t>
      </w:r>
      <w:r w:rsidRPr="00483CE6">
        <w:t xml:space="preserve">ara o CIMVA, de valor para cobertura de despesas administrativas relativas ao </w:t>
      </w:r>
      <w:r w:rsidRPr="00483CE6">
        <w:rPr>
          <w:spacing w:val="13"/>
        </w:rPr>
        <w:t xml:space="preserve"> </w:t>
      </w:r>
      <w:r w:rsidRPr="00483CE6">
        <w:t>programa</w:t>
      </w:r>
      <w:r w:rsidRPr="00483CE6">
        <w:rPr>
          <w:spacing w:val="14"/>
        </w:rPr>
        <w:t xml:space="preserve"> </w:t>
      </w:r>
      <w:r w:rsidRPr="00483CE6">
        <w:t>“</w:t>
      </w:r>
      <w:r w:rsidRPr="00483CE6">
        <w:rPr>
          <w:i/>
        </w:rPr>
        <w:t>Mobiliza</w:t>
      </w:r>
      <w:r w:rsidRPr="00483CE6">
        <w:rPr>
          <w:i/>
          <w:spacing w:val="19"/>
        </w:rPr>
        <w:t xml:space="preserve"> </w:t>
      </w:r>
      <w:r w:rsidRPr="00483CE6">
        <w:rPr>
          <w:i/>
        </w:rPr>
        <w:t>Pelos</w:t>
      </w:r>
      <w:r w:rsidRPr="00483CE6">
        <w:rPr>
          <w:i/>
          <w:spacing w:val="1"/>
        </w:rPr>
        <w:t xml:space="preserve"> </w:t>
      </w:r>
      <w:r w:rsidRPr="00483CE6">
        <w:rPr>
          <w:i/>
        </w:rPr>
        <w:t>Caminhos</w:t>
      </w:r>
      <w:r w:rsidRPr="00483CE6">
        <w:rPr>
          <w:i/>
          <w:spacing w:val="-3"/>
        </w:rPr>
        <w:t xml:space="preserve"> </w:t>
      </w:r>
      <w:r w:rsidRPr="00483CE6">
        <w:rPr>
          <w:i/>
        </w:rPr>
        <w:t>do Vale</w:t>
      </w:r>
      <w:r w:rsidRPr="00483CE6">
        <w:t>”,</w:t>
      </w:r>
      <w:r w:rsidRPr="00483CE6">
        <w:rPr>
          <w:spacing w:val="1"/>
        </w:rPr>
        <w:t xml:space="preserve"> </w:t>
      </w:r>
      <w:r w:rsidRPr="00483CE6">
        <w:rPr>
          <w:rFonts w:ascii="Century Gothic" w:hAnsi="Century Gothic" w:cs="Arial"/>
          <w:lang w:bidi="pt-PT"/>
        </w:rPr>
        <w:t xml:space="preserve"> visando o atendimento da população. 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  <w:lang w:bidi="pt-PT"/>
        </w:rPr>
      </w:pPr>
      <w:r w:rsidRPr="00483CE6">
        <w:rPr>
          <w:rFonts w:ascii="Century Gothic" w:hAnsi="Century Gothic" w:cs="Arial"/>
          <w:lang w:bidi="pt-PT"/>
        </w:rPr>
        <w:t>De doação de agregados siderurgicos a ser entregue pela USIMINAS noa s estradas rurais possui extrema  importancia  para o Municipio de Santo Antonio do Grama, tendo em vista que a referida infraestrutura visa proporcionar, a população desta cidade, conforto e qualidade de vida.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lang w:bidi="pt-PT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3 – Diretrizes que nortearão o ETP: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highlight w:val="yellow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A contratação deverá observar as seguintes diretrizes: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. O presente contrato de programa será regido pelas seguintes normas: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. Lei nº 4.320/64;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.Lei nº 11.107/05;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 xml:space="preserve">. Lei nº 14.133/2021, art. 75, inciso XI, art. 89 e ss. e art, 184; 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. Decreto nº 6.017/05,art.30;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4 – Plano anual de contratação: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ab/>
        <w:t xml:space="preserve">O Município, no presente momento, não possui plano de contratação vigente para o exercício de 2024. 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  <w:highlight w:val="yellow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5 – Requisitos da contratação: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Deverão ser observadas as seguintes diretrizes: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pStyle w:val="PargrafodaLista"/>
        <w:widowControl/>
        <w:numPr>
          <w:ilvl w:val="0"/>
          <w:numId w:val="1"/>
        </w:numPr>
        <w:autoSpaceDE/>
        <w:autoSpaceDN/>
        <w:spacing w:line="276" w:lineRule="auto"/>
        <w:ind w:left="0" w:firstLine="720"/>
        <w:contextualSpacing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Atendimento direcionado à população usuária que trata de doação de agregados siderurgico a ser entregue pela USIMINAS nas estradas rurais, necessidade de recursos assistenciais durante a execução;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6 – Estimativas de quantidades e valor estimado: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O valor total estimado do presente contrato é de R$ 24.000,00(vinte quatro mil reais)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Para o exercício de 2024, a estimativa de despesa é de R$ 24.000,00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Diante do caráter de serviços/fornecimentos contínuos, nas estimativas de valores foram considerados os exercícios de 2024 e 2025 visando a adoção de um melhor planejamento da utilização dos recursos orçamentário e financeiro do Município e, especialmente, um melhor planejamento do atendimento da população ao longo dos próximos dois exercícios financeiros.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7 – Dotação Orçamentária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ab/>
        <w:t>As despesas oriundas da execução do objeto deste ETP serão suportadas com as seguintes dotações orçamentárias do exercício de 2024: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0206 15 451 0010 1.005 447251 - 2710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ab/>
        <w:t xml:space="preserve">Em atendimento a expressa norma contida no art. 106, </w:t>
      </w:r>
      <w:r w:rsidRPr="00483CE6">
        <w:rPr>
          <w:rFonts w:ascii="Century Gothic" w:hAnsi="Century Gothic" w:cs="Arial"/>
          <w:i/>
          <w:iCs/>
        </w:rPr>
        <w:t xml:space="preserve">caput, </w:t>
      </w:r>
      <w:r w:rsidRPr="00483CE6">
        <w:rPr>
          <w:rFonts w:ascii="Century Gothic" w:hAnsi="Century Gothic" w:cs="Arial"/>
        </w:rPr>
        <w:t xml:space="preserve">inciso II e art. 136, todos da Lei n° 14.133/2021, no início do exercício de 2025, deverão ser informadas as dotações que serão utilizadas para suportar a execução do objeto deste ETP no ano de 2025. 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Tais atributos e finalidades de eficiência, qualidade, capacidade, acesso na gestão, e da própria regionalização, são, indiscutivelmente, vinculados à própria ideia da Lei n° 11.107/2005, que regula o processo de gestão associada de serviços públicos através de associação de Entes públicos.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 xml:space="preserve">            Além disto, não se pode olvidar o fato de que a própria Lei n° 14.133/2021 (como também assim o fazia o revogado art. 112, §1° da Lei n° 8.666/1993) incentiva a criação de centrais de doação de agregados siderurgico a ser entregue pela USIMINAS.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E por fim, não deve ser desconsiderado o fato de que o Município de Santo Antonio do Grama além de ser Ente público participante do Consórcio CIMVA, já mantém contrato de rateio para a manutenção financeira do referido consórcio.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 xml:space="preserve">Desta forma, os requisitos da contratação serão potencialmente cumpridos de forma efetiva caso as contratações objetos deste ETP sejam </w:t>
      </w:r>
      <w:r w:rsidRPr="00483CE6">
        <w:rPr>
          <w:rFonts w:ascii="Century Gothic" w:hAnsi="Century Gothic" w:cs="Arial"/>
        </w:rPr>
        <w:lastRenderedPageBreak/>
        <w:t>realizadas por delegação ao Consórcio CIMVA.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 xml:space="preserve">Em conclusão, a solução proposta é a delegação da gestão do objeto deste ETP ao CIMVA conforme a motivação descrita neste item, o que deverá ser efetivado mediante a execução orçamentária delegada ao CIMVA e a formalização de contrato de programa nos termos do art. 13 da Lei n° 11.107/2005 c/c o art. 75, </w:t>
      </w:r>
      <w:r w:rsidRPr="00483CE6">
        <w:rPr>
          <w:rFonts w:ascii="Century Gothic" w:hAnsi="Century Gothic" w:cs="Arial"/>
          <w:i/>
          <w:iCs/>
        </w:rPr>
        <w:t xml:space="preserve">caput, </w:t>
      </w:r>
      <w:r w:rsidRPr="00483CE6">
        <w:rPr>
          <w:rFonts w:ascii="Century Gothic" w:hAnsi="Century Gothic" w:cs="Arial"/>
        </w:rPr>
        <w:t>inciso XI da Lei n° 14.133/2021.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bookmarkStart w:id="0" w:name="_GoBack"/>
      <w:bookmarkEnd w:id="0"/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  <w:b/>
          <w:bCs/>
        </w:rPr>
        <w:t>9 – Justificativa para o não parcelamento da contratação:</w:t>
      </w:r>
      <w:r w:rsidRPr="00483CE6">
        <w:rPr>
          <w:rFonts w:ascii="Century Gothic" w:hAnsi="Century Gothic" w:cs="Arial"/>
        </w:rPr>
        <w:t xml:space="preserve"> 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O objeto deste ETP refere-se a gestão de todo o processo de DELEGAÇÃO DO Municipio ao Consorcio da gestão associada de doação de agregados siderurgico a ser entregue pela USIMINAS.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10 – Providências prévias à celebração do contrato e contratação correlata e/ou interdependentes: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Não há providências prévias a serem adotadas em relação a celebração de contrato.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11 – Análise de Riscos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Em cumprimento ao disposto no art. 103 da Lei n° 14.133/2021, fica estabelecido que possíveis eventos que possam interferir no equilíbrio econômico-financeiro serão assumidos: a) pelo MUNICÍPIO na hipótese de eventos que importem em majoração dos custos da execução do contrato; b) pelo CONSÓRCIO na hipótese de eventos que importem em redução dos custos da execução do contrato.</w:t>
      </w: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Fica dispensada a elaboração de matriz prevista no art. 6°, inciso XXVII da Lei n° 14.133/2021, adotando-se os riscos indicados no parágrafo anterior como a alocação de riscos a ser considerada em eventual contrato de programa a ser firmado.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12 – Termo de Referência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  <w:b/>
          <w:bCs/>
        </w:rPr>
        <w:tab/>
      </w:r>
      <w:r w:rsidRPr="00483CE6">
        <w:rPr>
          <w:rFonts w:ascii="Century Gothic" w:hAnsi="Century Gothic" w:cs="Arial"/>
        </w:rPr>
        <w:t>Toda a descrição contida neste ETP, contempla, dentre outras informações e considerações, aquelas necessárias à correta elaboração e execução contratual, ficando dispensada a elaboração de termo de referência.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483CE6">
        <w:rPr>
          <w:rFonts w:ascii="Century Gothic" w:hAnsi="Century Gothic" w:cs="Arial"/>
          <w:b/>
          <w:bCs/>
        </w:rPr>
        <w:t>13 – Conclusão sobre a solução da demanda de contratação:</w:t>
      </w:r>
    </w:p>
    <w:p w:rsidR="001B4B62" w:rsidRPr="00483CE6" w:rsidRDefault="001B4B62" w:rsidP="001B4B62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1B4B62" w:rsidRPr="00483CE6" w:rsidRDefault="001B4B62" w:rsidP="001B4B62">
      <w:pPr>
        <w:spacing w:line="276" w:lineRule="auto"/>
        <w:ind w:firstLine="720"/>
        <w:jc w:val="both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 xml:space="preserve">A solução da demanda na forma apresentada neste ETP é viável do ponto de vista técnico e financeiro, propondo-se sejam realizados por delegação da gestão do objeto deste ETP ao CIMVA conforme a motivação descrita no item 8, o que deverá ser efetivado mediante a execução orçamentária delegada ao CIMVA e a formalização de contrato de programa nos termos do art. 13 da Lei n° 11.107/2005 c/c o art. 75, </w:t>
      </w:r>
      <w:r w:rsidRPr="00483CE6">
        <w:rPr>
          <w:rFonts w:ascii="Century Gothic" w:hAnsi="Century Gothic" w:cs="Arial"/>
          <w:i/>
          <w:iCs/>
        </w:rPr>
        <w:t xml:space="preserve">caput, </w:t>
      </w:r>
      <w:r w:rsidRPr="00483CE6">
        <w:rPr>
          <w:rFonts w:ascii="Century Gothic" w:hAnsi="Century Gothic" w:cs="Arial"/>
        </w:rPr>
        <w:t>inciso XI da Lei n° 14.133/2021.</w:t>
      </w:r>
    </w:p>
    <w:p w:rsidR="001B4B62" w:rsidRPr="00483CE6" w:rsidRDefault="001B4B62" w:rsidP="001B4B62">
      <w:pPr>
        <w:spacing w:line="276" w:lineRule="auto"/>
        <w:jc w:val="center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Santo Antonio do Grama, 09 de outubro de 2024.</w:t>
      </w:r>
    </w:p>
    <w:p w:rsidR="001B4B62" w:rsidRPr="00483CE6" w:rsidRDefault="001B4B62" w:rsidP="001B4B62">
      <w:pPr>
        <w:spacing w:line="276" w:lineRule="auto"/>
        <w:jc w:val="center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center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center"/>
        <w:rPr>
          <w:rFonts w:ascii="Century Gothic" w:hAnsi="Century Gothic" w:cs="Arial"/>
        </w:rPr>
      </w:pPr>
    </w:p>
    <w:p w:rsidR="001B4B62" w:rsidRPr="00483CE6" w:rsidRDefault="001B4B62" w:rsidP="001B4B62">
      <w:pPr>
        <w:spacing w:line="276" w:lineRule="auto"/>
        <w:jc w:val="center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Alcione Januaria T. da Silveira</w:t>
      </w:r>
    </w:p>
    <w:p w:rsidR="001B4B62" w:rsidRPr="00483CE6" w:rsidRDefault="001B4B62" w:rsidP="001B4B62">
      <w:pPr>
        <w:spacing w:line="276" w:lineRule="auto"/>
        <w:jc w:val="center"/>
        <w:rPr>
          <w:rFonts w:ascii="Century Gothic" w:hAnsi="Century Gothic" w:cs="Arial"/>
        </w:rPr>
      </w:pPr>
      <w:r w:rsidRPr="00483CE6">
        <w:rPr>
          <w:rFonts w:ascii="Century Gothic" w:hAnsi="Century Gothic" w:cs="Arial"/>
        </w:rPr>
        <w:t>Secretaria Administrativo</w:t>
      </w:r>
    </w:p>
    <w:p w:rsidR="00C66110" w:rsidRDefault="00C66110"/>
    <w:sectPr w:rsidR="00C661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C1" w:rsidRDefault="00D419C1" w:rsidP="001B4B62">
      <w:r>
        <w:separator/>
      </w:r>
    </w:p>
  </w:endnote>
  <w:endnote w:type="continuationSeparator" w:id="0">
    <w:p w:rsidR="00D419C1" w:rsidRDefault="00D419C1" w:rsidP="001B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C1" w:rsidRDefault="00D419C1" w:rsidP="001B4B62">
      <w:r>
        <w:separator/>
      </w:r>
    </w:p>
  </w:footnote>
  <w:footnote w:type="continuationSeparator" w:id="0">
    <w:p w:rsidR="00D419C1" w:rsidRDefault="00D419C1" w:rsidP="001B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62" w:rsidRPr="005D50B3" w:rsidRDefault="001B4B62" w:rsidP="001B4B6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EB7B4" wp14:editId="554A1356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1B4B62" w:rsidRDefault="001B4B62" w:rsidP="001B4B62">
    <w:pPr>
      <w:pStyle w:val="Cabealho"/>
    </w:pPr>
  </w:p>
  <w:p w:rsidR="001B4B62" w:rsidRDefault="001B4B62" w:rsidP="001B4B62">
    <w:pPr>
      <w:pStyle w:val="Cabealho"/>
    </w:pPr>
  </w:p>
  <w:p w:rsidR="001B4B62" w:rsidRDefault="001B4B62" w:rsidP="001B4B62">
    <w:pPr>
      <w:pStyle w:val="Cabealho"/>
    </w:pPr>
  </w:p>
  <w:p w:rsidR="001B4B62" w:rsidRDefault="001B4B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E695E"/>
    <w:multiLevelType w:val="hybridMultilevel"/>
    <w:tmpl w:val="FE9070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62"/>
    <w:rsid w:val="001B4B62"/>
    <w:rsid w:val="00C66110"/>
    <w:rsid w:val="00D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92F7E-1D65-4ADD-8ADB-C797850E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B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1B4B62"/>
    <w:pPr>
      <w:ind w:left="305" w:hanging="186"/>
    </w:p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1B4B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1B4B62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B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B62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2024-10-24T11:55:00Z</dcterms:created>
  <dcterms:modified xsi:type="dcterms:W3CDTF">2024-10-24T11:56:00Z</dcterms:modified>
</cp:coreProperties>
</file>