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F801D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F801D1">
      <w:pPr>
        <w:pStyle w:val="PargrafodaLista"/>
        <w:ind w:left="360"/>
        <w:jc w:val="both"/>
        <w:rPr>
          <w:rFonts w:ascii="Arial" w:hAnsi="Arial" w:cs="Arial"/>
          <w:sz w:val="24"/>
          <w:szCs w:val="24"/>
        </w:rPr>
      </w:pPr>
    </w:p>
    <w:p w:rsidR="00420B40" w:rsidRPr="00F801D1" w:rsidRDefault="00243856" w:rsidP="00420B40">
      <w:pPr>
        <w:pStyle w:val="PargrafodaLista"/>
        <w:ind w:left="360"/>
        <w:jc w:val="both"/>
        <w:rPr>
          <w:rFonts w:ascii="Arial" w:hAnsi="Arial" w:cs="Arial"/>
          <w:sz w:val="24"/>
          <w:szCs w:val="24"/>
        </w:rPr>
      </w:pPr>
      <w:r w:rsidRPr="00243856">
        <w:rPr>
          <w:rFonts w:ascii="Arial" w:hAnsi="Arial" w:cs="Arial"/>
          <w:sz w:val="24"/>
          <w:szCs w:val="24"/>
        </w:rPr>
        <w:t xml:space="preserve">Contratação de empresa especializada para fornecimento de semente de milho para plantio, resistente a </w:t>
      </w:r>
      <w:proofErr w:type="spellStart"/>
      <w:r w:rsidRPr="00243856">
        <w:rPr>
          <w:rFonts w:ascii="Arial" w:hAnsi="Arial" w:cs="Arial"/>
          <w:sz w:val="24"/>
          <w:szCs w:val="24"/>
        </w:rPr>
        <w:t>roundup</w:t>
      </w:r>
      <w:proofErr w:type="spellEnd"/>
      <w:r w:rsidRPr="00243856">
        <w:rPr>
          <w:rFonts w:ascii="Arial" w:hAnsi="Arial" w:cs="Arial"/>
          <w:sz w:val="24"/>
          <w:szCs w:val="24"/>
        </w:rPr>
        <w:t xml:space="preserve"> e cigarrinha, 02 transgenias, similar (</w:t>
      </w:r>
      <w:proofErr w:type="spellStart"/>
      <w:r w:rsidRPr="00243856">
        <w:rPr>
          <w:rFonts w:ascii="Arial" w:hAnsi="Arial" w:cs="Arial"/>
          <w:sz w:val="24"/>
          <w:szCs w:val="24"/>
        </w:rPr>
        <w:t>kws</w:t>
      </w:r>
      <w:proofErr w:type="spellEnd"/>
      <w:r w:rsidRPr="00243856">
        <w:rPr>
          <w:rFonts w:ascii="Arial" w:hAnsi="Arial" w:cs="Arial"/>
          <w:sz w:val="24"/>
          <w:szCs w:val="24"/>
        </w:rPr>
        <w:t xml:space="preserve">), pacote com o mínimo de 60 mil sementes, tecnologia </w:t>
      </w:r>
      <w:proofErr w:type="spellStart"/>
      <w:r w:rsidRPr="00243856">
        <w:rPr>
          <w:rFonts w:ascii="Arial" w:hAnsi="Arial" w:cs="Arial"/>
          <w:sz w:val="24"/>
          <w:szCs w:val="24"/>
        </w:rPr>
        <w:t>vip</w:t>
      </w:r>
      <w:proofErr w:type="spellEnd"/>
      <w:r w:rsidRPr="00243856">
        <w:rPr>
          <w:rFonts w:ascii="Arial" w:hAnsi="Arial" w:cs="Arial"/>
          <w:sz w:val="24"/>
          <w:szCs w:val="24"/>
        </w:rPr>
        <w:t xml:space="preserve"> 3, para manutenção das atividades da secretaria municipal de agricultura do município de Santo Antônio do Grama/MG.</w:t>
      </w: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p w:rsidR="004A43BE" w:rsidRDefault="004A43BE" w:rsidP="00976B6E">
      <w:pPr>
        <w:pStyle w:val="PargrafodaLista"/>
        <w:jc w:val="both"/>
        <w:rPr>
          <w:rFonts w:ascii="Arial" w:hAnsi="Arial" w:cs="Arial"/>
          <w:b/>
        </w:rPr>
      </w:pPr>
    </w:p>
    <w:tbl>
      <w:tblPr>
        <w:tblStyle w:val="Tabelacomgrade"/>
        <w:tblW w:w="8897" w:type="dxa"/>
        <w:tblLook w:val="04A0" w:firstRow="1" w:lastRow="0" w:firstColumn="1" w:lastColumn="0" w:noHBand="0" w:noVBand="1"/>
      </w:tblPr>
      <w:tblGrid>
        <w:gridCol w:w="803"/>
        <w:gridCol w:w="1116"/>
        <w:gridCol w:w="876"/>
        <w:gridCol w:w="6102"/>
      </w:tblGrid>
      <w:tr w:rsidR="00243856" w:rsidRPr="00B74457" w:rsidTr="00C85F2A">
        <w:tc>
          <w:tcPr>
            <w:tcW w:w="803" w:type="dxa"/>
          </w:tcPr>
          <w:p w:rsidR="00243856" w:rsidRPr="00B74457" w:rsidRDefault="00243856" w:rsidP="00C85F2A">
            <w:pPr>
              <w:jc w:val="center"/>
              <w:rPr>
                <w:rFonts w:ascii="Arial" w:hAnsi="Arial" w:cs="Arial"/>
              </w:rPr>
            </w:pPr>
            <w:r w:rsidRPr="00B74457">
              <w:rPr>
                <w:rFonts w:ascii="Arial" w:hAnsi="Arial" w:cs="Arial"/>
              </w:rPr>
              <w:t>ITEM</w:t>
            </w:r>
          </w:p>
        </w:tc>
        <w:tc>
          <w:tcPr>
            <w:tcW w:w="1116" w:type="dxa"/>
          </w:tcPr>
          <w:p w:rsidR="00243856" w:rsidRPr="00B74457" w:rsidRDefault="00243856" w:rsidP="00C85F2A">
            <w:pPr>
              <w:jc w:val="center"/>
              <w:rPr>
                <w:rFonts w:ascii="Arial" w:hAnsi="Arial" w:cs="Arial"/>
              </w:rPr>
            </w:pPr>
            <w:r w:rsidRPr="00B74457">
              <w:rPr>
                <w:rFonts w:ascii="Arial" w:hAnsi="Arial" w:cs="Arial"/>
              </w:rPr>
              <w:t>QUANT.</w:t>
            </w:r>
          </w:p>
        </w:tc>
        <w:tc>
          <w:tcPr>
            <w:tcW w:w="876" w:type="dxa"/>
          </w:tcPr>
          <w:p w:rsidR="00243856" w:rsidRPr="00B74457" w:rsidRDefault="00243856" w:rsidP="00C85F2A">
            <w:pPr>
              <w:jc w:val="center"/>
              <w:rPr>
                <w:rFonts w:ascii="Arial" w:hAnsi="Arial" w:cs="Arial"/>
              </w:rPr>
            </w:pPr>
            <w:r w:rsidRPr="00B74457">
              <w:rPr>
                <w:rFonts w:ascii="Arial" w:hAnsi="Arial" w:cs="Arial"/>
              </w:rPr>
              <w:t>UNID.</w:t>
            </w:r>
          </w:p>
        </w:tc>
        <w:tc>
          <w:tcPr>
            <w:tcW w:w="6102" w:type="dxa"/>
          </w:tcPr>
          <w:p w:rsidR="00243856" w:rsidRPr="00B74457" w:rsidRDefault="00243856" w:rsidP="00C85F2A">
            <w:pPr>
              <w:jc w:val="center"/>
              <w:rPr>
                <w:rFonts w:ascii="Arial" w:hAnsi="Arial" w:cs="Arial"/>
              </w:rPr>
            </w:pPr>
            <w:r w:rsidRPr="00B74457">
              <w:rPr>
                <w:rFonts w:ascii="Arial" w:hAnsi="Arial" w:cs="Arial"/>
              </w:rPr>
              <w:t>DESCRIÇÃO DO OBJETO</w:t>
            </w:r>
          </w:p>
        </w:tc>
      </w:tr>
      <w:tr w:rsidR="00243856" w:rsidRPr="00B74457" w:rsidTr="00C85F2A">
        <w:tc>
          <w:tcPr>
            <w:tcW w:w="803" w:type="dxa"/>
          </w:tcPr>
          <w:p w:rsidR="00243856" w:rsidRPr="00B74457" w:rsidRDefault="00243856" w:rsidP="00C85F2A">
            <w:pPr>
              <w:jc w:val="center"/>
              <w:rPr>
                <w:rFonts w:ascii="Arial" w:hAnsi="Arial" w:cs="Arial"/>
              </w:rPr>
            </w:pPr>
            <w:r w:rsidRPr="00B74457">
              <w:rPr>
                <w:rFonts w:ascii="Arial" w:hAnsi="Arial" w:cs="Arial"/>
              </w:rPr>
              <w:t>01</w:t>
            </w:r>
          </w:p>
        </w:tc>
        <w:tc>
          <w:tcPr>
            <w:tcW w:w="1116" w:type="dxa"/>
          </w:tcPr>
          <w:p w:rsidR="00243856" w:rsidRPr="00B74457" w:rsidRDefault="00243856" w:rsidP="00C85F2A">
            <w:pPr>
              <w:jc w:val="center"/>
              <w:rPr>
                <w:rFonts w:ascii="Arial" w:hAnsi="Arial" w:cs="Arial"/>
              </w:rPr>
            </w:pPr>
            <w:r>
              <w:rPr>
                <w:rFonts w:ascii="Arial" w:hAnsi="Arial" w:cs="Arial"/>
              </w:rPr>
              <w:t>260</w:t>
            </w:r>
          </w:p>
        </w:tc>
        <w:tc>
          <w:tcPr>
            <w:tcW w:w="876" w:type="dxa"/>
          </w:tcPr>
          <w:p w:rsidR="00243856" w:rsidRPr="00B74457" w:rsidRDefault="00243856" w:rsidP="00C85F2A">
            <w:pPr>
              <w:jc w:val="center"/>
              <w:rPr>
                <w:rFonts w:ascii="Arial" w:hAnsi="Arial" w:cs="Arial"/>
              </w:rPr>
            </w:pPr>
            <w:r>
              <w:rPr>
                <w:rFonts w:ascii="Arial" w:hAnsi="Arial" w:cs="Arial"/>
              </w:rPr>
              <w:t>Sacos</w:t>
            </w:r>
          </w:p>
        </w:tc>
        <w:tc>
          <w:tcPr>
            <w:tcW w:w="6102" w:type="dxa"/>
          </w:tcPr>
          <w:p w:rsidR="00243856" w:rsidRPr="00A30E1A" w:rsidRDefault="00243856" w:rsidP="00C85F2A">
            <w:pPr>
              <w:jc w:val="both"/>
              <w:rPr>
                <w:rFonts w:ascii="Arial" w:hAnsi="Arial" w:cs="Arial"/>
              </w:rPr>
            </w:pPr>
            <w:r w:rsidRPr="00A30E1A">
              <w:rPr>
                <w:rFonts w:ascii="Arial" w:hAnsi="Arial" w:cs="Arial"/>
              </w:rPr>
              <w:t xml:space="preserve">Milho para plantio, resistente a </w:t>
            </w:r>
            <w:proofErr w:type="spellStart"/>
            <w:r w:rsidRPr="00A30E1A">
              <w:rPr>
                <w:rFonts w:ascii="Arial" w:hAnsi="Arial" w:cs="Arial"/>
              </w:rPr>
              <w:t>roudup</w:t>
            </w:r>
            <w:proofErr w:type="spellEnd"/>
            <w:r w:rsidRPr="00A30E1A">
              <w:rPr>
                <w:rFonts w:ascii="Arial" w:hAnsi="Arial" w:cs="Arial"/>
              </w:rPr>
              <w:t xml:space="preserve"> e cigarrinha, 02 transgenias, similar (KWS).</w:t>
            </w:r>
          </w:p>
          <w:p w:rsidR="00243856" w:rsidRDefault="00243856" w:rsidP="00C85F2A">
            <w:pPr>
              <w:jc w:val="both"/>
              <w:rPr>
                <w:rFonts w:ascii="Arial" w:hAnsi="Arial" w:cs="Arial"/>
              </w:rPr>
            </w:pPr>
            <w:r w:rsidRPr="00A30E1A">
              <w:rPr>
                <w:rFonts w:ascii="Arial" w:hAnsi="Arial" w:cs="Arial"/>
              </w:rPr>
              <w:t xml:space="preserve">Pacote com o mínimo 60 (sessenta) mil sementes. </w:t>
            </w:r>
          </w:p>
          <w:p w:rsidR="00243856" w:rsidRPr="00A30E1A" w:rsidRDefault="00243856" w:rsidP="00C85F2A">
            <w:pPr>
              <w:jc w:val="both"/>
              <w:rPr>
                <w:rFonts w:ascii="Arial" w:hAnsi="Arial" w:cs="Arial"/>
              </w:rPr>
            </w:pPr>
            <w:r w:rsidRPr="00A30E1A">
              <w:rPr>
                <w:rFonts w:ascii="Arial" w:hAnsi="Arial" w:cs="Arial"/>
              </w:rPr>
              <w:t xml:space="preserve">Tecnologia </w:t>
            </w:r>
            <w:proofErr w:type="spellStart"/>
            <w:r w:rsidRPr="00A30E1A">
              <w:rPr>
                <w:rFonts w:ascii="Arial" w:hAnsi="Arial" w:cs="Arial"/>
              </w:rPr>
              <w:t>Vip</w:t>
            </w:r>
            <w:proofErr w:type="spellEnd"/>
            <w:r w:rsidRPr="00A30E1A">
              <w:rPr>
                <w:rFonts w:ascii="Arial" w:hAnsi="Arial" w:cs="Arial"/>
              </w:rPr>
              <w:t xml:space="preserve"> 3.</w:t>
            </w:r>
          </w:p>
          <w:p w:rsidR="00243856" w:rsidRPr="00B74457" w:rsidRDefault="00243856" w:rsidP="00C85F2A">
            <w:pPr>
              <w:jc w:val="both"/>
              <w:rPr>
                <w:rFonts w:ascii="Arial" w:hAnsi="Arial" w:cs="Arial"/>
              </w:rPr>
            </w:pPr>
          </w:p>
        </w:tc>
      </w:tr>
    </w:tbl>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420B40"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Pr>
          <w:rFonts w:ascii="Arial" w:eastAsiaTheme="minorHAnsi" w:hAnsi="Arial" w:cs="Arial"/>
          <w:lang w:eastAsia="en-US"/>
        </w:rPr>
        <w:t>O prazo de vigência d</w:t>
      </w:r>
      <w:r w:rsidR="00243856">
        <w:rPr>
          <w:rFonts w:ascii="Arial" w:eastAsiaTheme="minorHAnsi" w:hAnsi="Arial" w:cs="Arial"/>
          <w:lang w:eastAsia="en-US"/>
        </w:rPr>
        <w:t>a Ata</w:t>
      </w:r>
      <w:r>
        <w:rPr>
          <w:rFonts w:ascii="Arial" w:eastAsiaTheme="minorHAnsi" w:hAnsi="Arial" w:cs="Arial"/>
          <w:lang w:eastAsia="en-US"/>
        </w:rPr>
        <w:t xml:space="preserve"> </w:t>
      </w:r>
      <w:r w:rsidR="00204EAB" w:rsidRPr="00CA51BE">
        <w:rPr>
          <w:rFonts w:ascii="Arial" w:eastAsiaTheme="minorHAnsi" w:hAnsi="Arial" w:cs="Arial"/>
          <w:lang w:eastAsia="en-US"/>
        </w:rPr>
        <w:t>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243856" w:rsidRDefault="00243856" w:rsidP="001F49C9">
      <w:pPr>
        <w:pStyle w:val="PargrafodaLista"/>
        <w:numPr>
          <w:ilvl w:val="1"/>
          <w:numId w:val="2"/>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A presente contratação tem por objeto a aquisição de sementes de milho para plantio, com resistência ao herbicida glifosato (</w:t>
      </w:r>
      <w:proofErr w:type="spellStart"/>
      <w:r w:rsidRPr="00243856">
        <w:rPr>
          <w:rFonts w:ascii="Arial" w:eastAsiaTheme="minorEastAsia" w:hAnsi="Arial" w:cs="Arial"/>
          <w:color w:val="000000"/>
          <w:sz w:val="24"/>
          <w:szCs w:val="24"/>
          <w:lang w:eastAsia="pt-BR"/>
        </w:rPr>
        <w:t>Roundup</w:t>
      </w:r>
      <w:proofErr w:type="spellEnd"/>
      <w:r w:rsidRPr="00243856">
        <w:rPr>
          <w:rFonts w:ascii="Arial" w:eastAsiaTheme="minorEastAsia" w:hAnsi="Arial" w:cs="Arial"/>
          <w:color w:val="000000"/>
          <w:sz w:val="24"/>
          <w:szCs w:val="24"/>
          <w:lang w:eastAsia="pt-BR"/>
        </w:rPr>
        <w:t>) e à cigarrinha-do-milho, contendo no mínimo duas transgenias e tecnologia VIP3, em pacote com no mínimo 60 mil sementes, variedade similar à da marca KWS, com vistas à manutenção das atividades da Secretaria Municipal de Agricultura e Meio Ambiente.</w:t>
      </w:r>
    </w:p>
    <w:p w:rsidR="00243856" w:rsidRDefault="00243856" w:rsidP="00F11A82">
      <w:pPr>
        <w:pStyle w:val="PargrafodaLista"/>
        <w:numPr>
          <w:ilvl w:val="1"/>
          <w:numId w:val="2"/>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A justificativa da contratação fundamenta-se na necessidade de execução da política pública municipal instituída pelo Decreto Municipal nº 81/2022, que regula a distribuição gratuita de sementes aos pequenos produtores rurais, como medida de estímulo à agricultura familiar e ao desenvolvimento rural sustentável, conforme previsão orçamentária contida na Lei Municipal nº 600/2021, que institui o Programa de Desenvolvimento Rural no âmbito da Lei Orçamentária Anual (LOA).</w:t>
      </w:r>
    </w:p>
    <w:p w:rsidR="00243856" w:rsidRDefault="00243856" w:rsidP="00D74CEE">
      <w:pPr>
        <w:pStyle w:val="PargrafodaLista"/>
        <w:numPr>
          <w:ilvl w:val="1"/>
          <w:numId w:val="2"/>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lastRenderedPageBreak/>
        <w:t>Conforme estabelece o art. 1º do referido decreto, trata-se de uma política pública com finalidade socioeconômica e ambiental, voltada à melhoria da produtividade, ao incentivo à produção agroecológica, à segurança alimentar, e ao fortalecimento das economias locais, por meio da utilização de sementes com alta performance e adaptadas às condições da região.</w:t>
      </w:r>
    </w:p>
    <w:p w:rsidR="00243856" w:rsidRDefault="00243856" w:rsidP="00CC332B">
      <w:pPr>
        <w:pStyle w:val="PargrafodaLista"/>
        <w:numPr>
          <w:ilvl w:val="1"/>
          <w:numId w:val="2"/>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A contratação justifica-se ainda pela demanda recorrente da população rural do município, bem como pela constatação, por parte da Secretaria Municipal de Agricultura, de que a utilização de sementes convencionais tem sido ineficaz no combate à cigarrinha-do-milho (vetor de doenças severas), além de exigir maior carga de defensivos agrícolas, o que compromete tanto o resultado da lavoura quanto a sustentabilidade do cultivo.</w:t>
      </w:r>
    </w:p>
    <w:p w:rsidR="00243856" w:rsidRPr="00243856" w:rsidRDefault="00243856" w:rsidP="00243856">
      <w:pPr>
        <w:pStyle w:val="PargrafodaLista"/>
        <w:numPr>
          <w:ilvl w:val="1"/>
          <w:numId w:val="2"/>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A aquisição de sementes com tecnologia transgênica (duas transgenias e VIP3) permitirá:</w:t>
      </w:r>
    </w:p>
    <w:p w:rsidR="00243856" w:rsidRPr="00243856" w:rsidRDefault="00243856" w:rsidP="00243856">
      <w:pPr>
        <w:pStyle w:val="PargrafodaLista"/>
        <w:numPr>
          <w:ilvl w:val="0"/>
          <w:numId w:val="29"/>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Maior eficiência no controle de pragas e redução do uso de agroquímicos;</w:t>
      </w:r>
    </w:p>
    <w:p w:rsidR="00243856" w:rsidRPr="00243856" w:rsidRDefault="00243856" w:rsidP="00243856">
      <w:pPr>
        <w:pStyle w:val="PargrafodaLista"/>
        <w:numPr>
          <w:ilvl w:val="0"/>
          <w:numId w:val="29"/>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Incremento da produtividade por hectare;</w:t>
      </w:r>
    </w:p>
    <w:p w:rsidR="00243856" w:rsidRPr="00243856" w:rsidRDefault="00243856" w:rsidP="00243856">
      <w:pPr>
        <w:pStyle w:val="PargrafodaLista"/>
        <w:numPr>
          <w:ilvl w:val="0"/>
          <w:numId w:val="29"/>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Resiliência das lavouras a fatores fitossanitários críticos;</w:t>
      </w:r>
    </w:p>
    <w:p w:rsidR="00243856" w:rsidRPr="00243856" w:rsidRDefault="00243856" w:rsidP="00243856">
      <w:pPr>
        <w:pStyle w:val="PargrafodaLista"/>
        <w:numPr>
          <w:ilvl w:val="0"/>
          <w:numId w:val="29"/>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Redução de perdas financeiras aos pequenos agricultores familiares.</w:t>
      </w:r>
    </w:p>
    <w:p w:rsidR="00243856" w:rsidRPr="00243856" w:rsidRDefault="00243856" w:rsidP="00243856">
      <w:pPr>
        <w:pStyle w:val="PargrafodaLista"/>
        <w:numPr>
          <w:ilvl w:val="1"/>
          <w:numId w:val="2"/>
        </w:numPr>
        <w:jc w:val="both"/>
        <w:rPr>
          <w:rFonts w:ascii="Arial" w:eastAsiaTheme="minorEastAsia" w:hAnsi="Arial" w:cs="Arial"/>
          <w:color w:val="000000"/>
          <w:sz w:val="24"/>
          <w:szCs w:val="24"/>
          <w:lang w:eastAsia="pt-BR"/>
        </w:rPr>
      </w:pPr>
      <w:r w:rsidRPr="00243856">
        <w:rPr>
          <w:rFonts w:ascii="Arial" w:eastAsiaTheme="minorEastAsia" w:hAnsi="Arial" w:cs="Arial"/>
          <w:color w:val="000000"/>
          <w:sz w:val="24"/>
          <w:szCs w:val="24"/>
          <w:lang w:eastAsia="pt-BR"/>
        </w:rPr>
        <w:t>A distribuição das sementes, conforme previsto no Decreto Municipal nº 81/2022, será realizada a produtores previamente cadastrados, observando critérios como área limitada a quatro módulos fiscais, renda familiar de até dois salários mínimos, residência no município, e regularidade fiscal perante a Fazenda Pública Municipal.</w:t>
      </w:r>
    </w:p>
    <w:p w:rsidR="00243856" w:rsidRDefault="00243856" w:rsidP="00243856">
      <w:pPr>
        <w:pStyle w:val="PargrafodaLista"/>
        <w:numPr>
          <w:ilvl w:val="1"/>
          <w:numId w:val="2"/>
        </w:numPr>
        <w:jc w:val="both"/>
        <w:rPr>
          <w:lang w:eastAsia="pt-BR"/>
        </w:rPr>
      </w:pPr>
      <w:r w:rsidRPr="00243856">
        <w:rPr>
          <w:rFonts w:ascii="Arial" w:eastAsiaTheme="minorEastAsia" w:hAnsi="Arial" w:cs="Arial"/>
          <w:color w:val="000000"/>
          <w:sz w:val="24"/>
          <w:szCs w:val="24"/>
          <w:lang w:eastAsia="pt-BR"/>
        </w:rPr>
        <w:t>Dessa forma, a contratação ora proposta atende ao interesse público primário, em conformidade com os princípios da eficiência, economicidade, planejamento, isonomia e desenvolvimento sustentável, previstos na Lei nº 14.133/2021, constituindo-se em medida indispensável à execução de política pública municipal já instituída e regulamentada.</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bookmarkStart w:id="1" w:name="_GoBack"/>
      <w:bookmarkEnd w:id="1"/>
      <w:r w:rsidRPr="0092798C">
        <w:rPr>
          <w:rFonts w:ascii="Arial" w:hAnsi="Arial" w:cs="Arial"/>
          <w:b/>
        </w:rPr>
        <w:t>DESCRIÇÃO DA SOLUÇÃO COMO UM TODO</w:t>
      </w:r>
    </w:p>
    <w:p w:rsidR="00024889" w:rsidRDefault="000D5F1B" w:rsidP="000D5F1B">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0D5F1B" w:rsidRPr="0092798C" w:rsidRDefault="000D5F1B" w:rsidP="000D5F1B">
      <w:pPr>
        <w:pStyle w:val="PargrafodaLista"/>
        <w:ind w:left="360"/>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Default="000D5F1B" w:rsidP="008E425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0D5F1B" w:rsidRPr="000867FD" w:rsidRDefault="000D5F1B"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lastRenderedPageBreak/>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da prestação dos serviços: Município de Santo Antônio do Grama/MG, no local indicado na Ordem de Fornecimento ou no seu corpo de </w:t>
      </w:r>
      <w:proofErr w:type="spellStart"/>
      <w:r w:rsidRPr="00CA51BE">
        <w:rPr>
          <w:rFonts w:ascii="Arial" w:eastAsiaTheme="minorEastAsia" w:hAnsi="Arial" w:cs="Arial"/>
          <w:color w:val="000000"/>
          <w:sz w:val="24"/>
          <w:szCs w:val="24"/>
          <w:lang w:eastAsia="pt-BR"/>
        </w:rPr>
        <w:t>email</w:t>
      </w:r>
      <w:proofErr w:type="spellEnd"/>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sidR="004A43BE">
        <w:rPr>
          <w:rFonts w:ascii="Arial" w:eastAsiaTheme="minorEastAsia" w:hAnsi="Arial" w:cs="Arial"/>
          <w:color w:val="000000"/>
          <w:sz w:val="24"/>
          <w:szCs w:val="24"/>
          <w:lang w:eastAsia="pt-BR"/>
        </w:rPr>
        <w:t>10</w:t>
      </w:r>
      <w:r w:rsidRPr="00CA51BE">
        <w:rPr>
          <w:rFonts w:ascii="Arial" w:eastAsiaTheme="minorEastAsia" w:hAnsi="Arial" w:cs="Arial"/>
          <w:color w:val="000000"/>
          <w:sz w:val="24"/>
          <w:szCs w:val="24"/>
          <w:lang w:eastAsia="pt-BR"/>
        </w:rPr>
        <w:t xml:space="preserve"> (</w:t>
      </w:r>
      <w:r w:rsidR="004A43BE">
        <w:rPr>
          <w:rFonts w:ascii="Arial" w:eastAsiaTheme="minorEastAsia" w:hAnsi="Arial" w:cs="Arial"/>
          <w:color w:val="000000"/>
          <w:sz w:val="24"/>
          <w:szCs w:val="24"/>
          <w:lang w:eastAsia="pt-BR"/>
        </w:rPr>
        <w:t>dez</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execução do contrato deverá ser acompanhada e fiscalizada </w:t>
      </w:r>
      <w:proofErr w:type="gramStart"/>
      <w:r w:rsidRPr="000867FD">
        <w:rPr>
          <w:rFonts w:ascii="Arial" w:hAnsi="Arial" w:cs="Arial"/>
          <w:sz w:val="24"/>
          <w:szCs w:val="24"/>
        </w:rPr>
        <w:t>por  01</w:t>
      </w:r>
      <w:proofErr w:type="gramEnd"/>
      <w:r w:rsidRPr="000867FD">
        <w:rPr>
          <w:rFonts w:ascii="Arial" w:hAnsi="Arial" w:cs="Arial"/>
          <w:sz w:val="24"/>
          <w:szCs w:val="24"/>
        </w:rPr>
        <w:t xml:space="preserve"> (um)</w:t>
      </w:r>
      <w:r w:rsidR="0000744C">
        <w:rPr>
          <w:rFonts w:ascii="Arial" w:hAnsi="Arial" w:cs="Arial"/>
          <w:sz w:val="24"/>
          <w:szCs w:val="24"/>
        </w:rPr>
        <w:t xml:space="preserve"> designado o secretário da pasta.</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 xml:space="preserve">A inadimplência do contratado em relação aos encargos trabalhistas, fiscais e comerciais não transferirá à Administração a responsabilidade pelo seu </w:t>
      </w:r>
      <w:r w:rsidRPr="000867FD">
        <w:rPr>
          <w:rFonts w:ascii="Arial" w:hAnsi="Arial" w:cs="Arial"/>
          <w:sz w:val="24"/>
          <w:szCs w:val="24"/>
        </w:rPr>
        <w:lastRenderedPageBreak/>
        <w:t>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 xml:space="preserve">efetiva </w:t>
      </w:r>
      <w:r w:rsidR="0000744C">
        <w:rPr>
          <w:rFonts w:ascii="Arial" w:hAnsi="Arial" w:cs="Arial"/>
          <w:sz w:val="24"/>
          <w:szCs w:val="24"/>
        </w:rPr>
        <w:t>aquisição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 xml:space="preserve">do </w:t>
      </w:r>
      <w:r w:rsidR="0000744C">
        <w:rPr>
          <w:rFonts w:ascii="Arial" w:hAnsi="Arial" w:cs="Arial"/>
          <w:sz w:val="24"/>
          <w:szCs w:val="24"/>
        </w:rPr>
        <w:t xml:space="preserve">item </w:t>
      </w:r>
      <w:r w:rsidRPr="000867FD">
        <w:rPr>
          <w:rFonts w:ascii="Arial" w:hAnsi="Arial" w:cs="Arial"/>
          <w:sz w:val="24"/>
          <w:szCs w:val="24"/>
        </w:rPr>
        <w:t>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59211E">
        <w:rPr>
          <w:rFonts w:ascii="Arial" w:hAnsi="Arial" w:cs="Arial"/>
          <w:sz w:val="24"/>
          <w:szCs w:val="24"/>
        </w:rPr>
        <w:t>PRESENCIAL</w:t>
      </w:r>
      <w:r w:rsidRPr="00A84ABC">
        <w:rPr>
          <w:rFonts w:ascii="Arial" w:hAnsi="Arial" w:cs="Arial"/>
          <w:sz w:val="24"/>
          <w:szCs w:val="24"/>
        </w:rPr>
        <w:t>,</w:t>
      </w:r>
      <w:r w:rsidR="004A43BE">
        <w:rPr>
          <w:rFonts w:ascii="Arial" w:hAnsi="Arial" w:cs="Arial"/>
          <w:sz w:val="24"/>
          <w:szCs w:val="24"/>
        </w:rPr>
        <w:t xml:space="preserve"> por REGISTRO DE PREÇOS</w:t>
      </w:r>
      <w:r w:rsidRPr="00A84ABC">
        <w:rPr>
          <w:rFonts w:ascii="Arial" w:hAnsi="Arial" w:cs="Arial"/>
          <w:sz w:val="24"/>
          <w:szCs w:val="24"/>
        </w:rPr>
        <w:t xml:space="preserve">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334FBC" w:rsidRPr="00E3157D" w:rsidRDefault="00334FBC" w:rsidP="00334FBC">
      <w:pPr>
        <w:pStyle w:val="PargrafodaLista"/>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243856">
        <w:rPr>
          <w:rFonts w:ascii="Arial" w:hAnsi="Arial" w:cs="Arial"/>
          <w:b/>
          <w:sz w:val="24"/>
          <w:szCs w:val="24"/>
        </w:rPr>
        <w:t>400</w:t>
      </w:r>
      <w:r w:rsidR="00420B40">
        <w:rPr>
          <w:rFonts w:ascii="Arial" w:hAnsi="Arial" w:cs="Arial"/>
          <w:b/>
          <w:sz w:val="24"/>
          <w:szCs w:val="24"/>
        </w:rPr>
        <w:t>.000,00 (</w:t>
      </w:r>
      <w:r w:rsidR="00243856">
        <w:rPr>
          <w:rFonts w:ascii="Arial" w:hAnsi="Arial" w:cs="Arial"/>
          <w:b/>
          <w:sz w:val="24"/>
          <w:szCs w:val="24"/>
        </w:rPr>
        <w:t>Quatrocentos mil reais</w:t>
      </w:r>
      <w:r w:rsidR="00D711A3" w:rsidRPr="00D711A3">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B8144E" w:rsidRPr="00414ADA" w:rsidRDefault="00B53315" w:rsidP="00414ADA">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r>
      <w:r w:rsidR="00B44046">
        <w:rPr>
          <w:rFonts w:ascii="Arial" w:hAnsi="Arial" w:cs="Arial"/>
          <w:sz w:val="24"/>
          <w:szCs w:val="24"/>
        </w:rPr>
        <w:t>1</w:t>
      </w:r>
      <w:r w:rsidR="00243856">
        <w:rPr>
          <w:rFonts w:ascii="Arial" w:hAnsi="Arial" w:cs="Arial"/>
          <w:sz w:val="24"/>
          <w:szCs w:val="24"/>
        </w:rPr>
        <w:t>0</w:t>
      </w:r>
      <w:r w:rsidR="00B44046">
        <w:rPr>
          <w:rFonts w:ascii="Arial" w:hAnsi="Arial" w:cs="Arial"/>
          <w:sz w:val="24"/>
          <w:szCs w:val="24"/>
        </w:rPr>
        <w:t xml:space="preserve"> </w:t>
      </w:r>
      <w:r w:rsidR="004532B1" w:rsidRPr="00B85EEC">
        <w:rPr>
          <w:rFonts w:ascii="Arial" w:hAnsi="Arial" w:cs="Arial"/>
          <w:sz w:val="24"/>
          <w:szCs w:val="24"/>
        </w:rPr>
        <w:t xml:space="preserve">de </w:t>
      </w:r>
      <w:r w:rsidR="00B44046">
        <w:rPr>
          <w:rFonts w:ascii="Arial" w:hAnsi="Arial" w:cs="Arial"/>
          <w:sz w:val="24"/>
          <w:szCs w:val="24"/>
        </w:rPr>
        <w:t>Março</w:t>
      </w:r>
      <w:r w:rsidR="00CA2460">
        <w:rPr>
          <w:rFonts w:ascii="Arial" w:hAnsi="Arial" w:cs="Arial"/>
          <w:sz w:val="24"/>
          <w:szCs w:val="24"/>
        </w:rPr>
        <w:t xml:space="preserve"> </w:t>
      </w:r>
      <w:r w:rsidR="003D3AA7" w:rsidRPr="00B85EEC">
        <w:rPr>
          <w:rFonts w:ascii="Arial" w:hAnsi="Arial" w:cs="Arial"/>
          <w:sz w:val="24"/>
          <w:szCs w:val="24"/>
        </w:rPr>
        <w:t>de 202</w:t>
      </w:r>
      <w:r w:rsidR="00CA2460">
        <w:rPr>
          <w:rFonts w:ascii="Arial" w:hAnsi="Arial" w:cs="Arial"/>
          <w:sz w:val="24"/>
          <w:szCs w:val="24"/>
        </w:rPr>
        <w:t>5</w:t>
      </w:r>
      <w:r w:rsidR="003D3AA7" w:rsidRPr="00B85EEC">
        <w:rPr>
          <w:rFonts w:ascii="Arial" w:hAnsi="Arial" w:cs="Arial"/>
          <w:sz w:val="24"/>
          <w:szCs w:val="24"/>
        </w:rPr>
        <w:t>.</w:t>
      </w:r>
    </w:p>
    <w:p w:rsidR="00414ADA" w:rsidRPr="00334FBC" w:rsidRDefault="00414ADA" w:rsidP="00334FBC">
      <w:pP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rsidR="004A43BE" w:rsidRDefault="004A43BE" w:rsidP="004A43BE">
      <w:pPr>
        <w:pStyle w:val="PargrafodaLista"/>
        <w:jc w:val="center"/>
        <w:rPr>
          <w:rFonts w:ascii="Times New Roman" w:hAnsi="Times New Roman" w:cs="Times New Roman"/>
          <w:b/>
        </w:rPr>
      </w:pPr>
    </w:p>
    <w:p w:rsidR="0041534D" w:rsidRPr="00414ADA" w:rsidRDefault="0041534D" w:rsidP="004A43BE">
      <w:pPr>
        <w:rPr>
          <w:rFonts w:ascii="Arial" w:hAnsi="Arial" w:cs="Arial"/>
          <w:sz w:val="24"/>
          <w:szCs w:val="24"/>
        </w:rPr>
      </w:pPr>
    </w:p>
    <w:sectPr w:rsidR="0041534D" w:rsidRPr="00414A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E2" w:rsidRDefault="006B7AE2" w:rsidP="00C626DA">
      <w:pPr>
        <w:spacing w:after="0" w:line="240" w:lineRule="auto"/>
      </w:pPr>
      <w:r>
        <w:separator/>
      </w:r>
    </w:p>
  </w:endnote>
  <w:endnote w:type="continuationSeparator" w:id="0">
    <w:p w:rsidR="006B7AE2" w:rsidRDefault="006B7AE2"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243856">
          <w:rPr>
            <w:rFonts w:ascii="Arial" w:hAnsi="Arial" w:cs="Arial"/>
            <w:noProof/>
            <w:sz w:val="24"/>
            <w:szCs w:val="24"/>
          </w:rPr>
          <w:t>6</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E2" w:rsidRDefault="006B7AE2" w:rsidP="00C626DA">
      <w:pPr>
        <w:spacing w:after="0" w:line="240" w:lineRule="auto"/>
      </w:pPr>
      <w:r>
        <w:separator/>
      </w:r>
    </w:p>
  </w:footnote>
  <w:footnote w:type="continuationSeparator" w:id="0">
    <w:p w:rsidR="006B7AE2" w:rsidRDefault="006B7AE2"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2D11CE"/>
    <w:multiLevelType w:val="hybridMultilevel"/>
    <w:tmpl w:val="4296F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17"/>
  </w:num>
  <w:num w:numId="3">
    <w:abstractNumId w:val="10"/>
  </w:num>
  <w:num w:numId="4">
    <w:abstractNumId w:val="25"/>
  </w:num>
  <w:num w:numId="5">
    <w:abstractNumId w:val="6"/>
  </w:num>
  <w:num w:numId="6">
    <w:abstractNumId w:val="21"/>
  </w:num>
  <w:num w:numId="7">
    <w:abstractNumId w:val="4"/>
  </w:num>
  <w:num w:numId="8">
    <w:abstractNumId w:val="12"/>
  </w:num>
  <w:num w:numId="9">
    <w:abstractNumId w:val="3"/>
  </w:num>
  <w:num w:numId="10">
    <w:abstractNumId w:val="2"/>
  </w:num>
  <w:num w:numId="11">
    <w:abstractNumId w:val="23"/>
  </w:num>
  <w:num w:numId="12">
    <w:abstractNumId w:val="11"/>
  </w:num>
  <w:num w:numId="13">
    <w:abstractNumId w:val="5"/>
  </w:num>
  <w:num w:numId="14">
    <w:abstractNumId w:val="8"/>
  </w:num>
  <w:num w:numId="15">
    <w:abstractNumId w:val="9"/>
  </w:num>
  <w:num w:numId="16">
    <w:abstractNumId w:val="24"/>
  </w:num>
  <w:num w:numId="17">
    <w:abstractNumId w:val="14"/>
  </w:num>
  <w:num w:numId="18">
    <w:abstractNumId w:val="0"/>
  </w:num>
  <w:num w:numId="19">
    <w:abstractNumId w:val="18"/>
  </w:num>
  <w:num w:numId="20">
    <w:abstractNumId w:val="22"/>
  </w:num>
  <w:num w:numId="21">
    <w:abstractNumId w:val="26"/>
  </w:num>
  <w:num w:numId="22">
    <w:abstractNumId w:val="20"/>
  </w:num>
  <w:num w:numId="23">
    <w:abstractNumId w:val="27"/>
  </w:num>
  <w:num w:numId="24">
    <w:abstractNumId w:val="19"/>
  </w:num>
  <w:num w:numId="25">
    <w:abstractNumId w:val="16"/>
  </w:num>
  <w:num w:numId="26">
    <w:abstractNumId w:val="1"/>
  </w:num>
  <w:num w:numId="27">
    <w:abstractNumId w:val="7"/>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043CB"/>
    <w:rsid w:val="0000744C"/>
    <w:rsid w:val="00012BE1"/>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5F1B"/>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4A4"/>
    <w:rsid w:val="001C3E31"/>
    <w:rsid w:val="001C6DFC"/>
    <w:rsid w:val="001D7EF7"/>
    <w:rsid w:val="001E773D"/>
    <w:rsid w:val="001F1C9F"/>
    <w:rsid w:val="001F255C"/>
    <w:rsid w:val="001F273A"/>
    <w:rsid w:val="002044D1"/>
    <w:rsid w:val="0020459C"/>
    <w:rsid w:val="00204EAB"/>
    <w:rsid w:val="002118F3"/>
    <w:rsid w:val="002159DA"/>
    <w:rsid w:val="00231713"/>
    <w:rsid w:val="00232A46"/>
    <w:rsid w:val="0024114A"/>
    <w:rsid w:val="00243856"/>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4FBC"/>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3F5821"/>
    <w:rsid w:val="00414ADA"/>
    <w:rsid w:val="0041534D"/>
    <w:rsid w:val="00420B40"/>
    <w:rsid w:val="004255CD"/>
    <w:rsid w:val="00432BB4"/>
    <w:rsid w:val="00434636"/>
    <w:rsid w:val="00437B72"/>
    <w:rsid w:val="00444A7F"/>
    <w:rsid w:val="004532B1"/>
    <w:rsid w:val="00457853"/>
    <w:rsid w:val="00460AB8"/>
    <w:rsid w:val="004613AB"/>
    <w:rsid w:val="00470609"/>
    <w:rsid w:val="0047154C"/>
    <w:rsid w:val="004741E3"/>
    <w:rsid w:val="00482FA7"/>
    <w:rsid w:val="004844DB"/>
    <w:rsid w:val="00484847"/>
    <w:rsid w:val="004859E2"/>
    <w:rsid w:val="004876DF"/>
    <w:rsid w:val="004922AF"/>
    <w:rsid w:val="00496ACF"/>
    <w:rsid w:val="004A43BE"/>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87759"/>
    <w:rsid w:val="00692737"/>
    <w:rsid w:val="006942C2"/>
    <w:rsid w:val="0069771E"/>
    <w:rsid w:val="006A07EB"/>
    <w:rsid w:val="006A4243"/>
    <w:rsid w:val="006B18D5"/>
    <w:rsid w:val="006B7AE2"/>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6D37"/>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1927"/>
    <w:rsid w:val="00A16603"/>
    <w:rsid w:val="00A44B4B"/>
    <w:rsid w:val="00A60491"/>
    <w:rsid w:val="00A653D5"/>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073A"/>
    <w:rsid w:val="00B329C0"/>
    <w:rsid w:val="00B350AB"/>
    <w:rsid w:val="00B35F7B"/>
    <w:rsid w:val="00B44046"/>
    <w:rsid w:val="00B504FD"/>
    <w:rsid w:val="00B50F65"/>
    <w:rsid w:val="00B53315"/>
    <w:rsid w:val="00B5360B"/>
    <w:rsid w:val="00B54832"/>
    <w:rsid w:val="00B562A7"/>
    <w:rsid w:val="00B562C0"/>
    <w:rsid w:val="00B6299F"/>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978BE"/>
    <w:rsid w:val="00CA11EA"/>
    <w:rsid w:val="00CA2460"/>
    <w:rsid w:val="00CA34F9"/>
    <w:rsid w:val="00CA3D30"/>
    <w:rsid w:val="00CB49C6"/>
    <w:rsid w:val="00CB4DA2"/>
    <w:rsid w:val="00CC5B32"/>
    <w:rsid w:val="00CD384D"/>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91AC7"/>
    <w:rsid w:val="00DA12F5"/>
    <w:rsid w:val="00DA1342"/>
    <w:rsid w:val="00DA52DD"/>
    <w:rsid w:val="00DB0777"/>
    <w:rsid w:val="00DB5CB3"/>
    <w:rsid w:val="00DB607D"/>
    <w:rsid w:val="00DB6EF8"/>
    <w:rsid w:val="00DC4FA1"/>
    <w:rsid w:val="00DC66E7"/>
    <w:rsid w:val="00DD01B5"/>
    <w:rsid w:val="00DD4AB6"/>
    <w:rsid w:val="00DD54EF"/>
    <w:rsid w:val="00DE3F6C"/>
    <w:rsid w:val="00DE4377"/>
    <w:rsid w:val="00DE5AC8"/>
    <w:rsid w:val="00DF0DC5"/>
    <w:rsid w:val="00E0107E"/>
    <w:rsid w:val="00E1018D"/>
    <w:rsid w:val="00E1163B"/>
    <w:rsid w:val="00E3157D"/>
    <w:rsid w:val="00E32704"/>
    <w:rsid w:val="00E37AA8"/>
    <w:rsid w:val="00E43B42"/>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01D1"/>
    <w:rsid w:val="00F841E5"/>
    <w:rsid w:val="00F87AF1"/>
    <w:rsid w:val="00F9033D"/>
    <w:rsid w:val="00FB5A77"/>
    <w:rsid w:val="00FB66E6"/>
    <w:rsid w:val="00FB7EA2"/>
    <w:rsid w:val="00FC2012"/>
    <w:rsid w:val="00FC4432"/>
    <w:rsid w:val="00FD3A22"/>
    <w:rsid w:val="00FE2826"/>
    <w:rsid w:val="00FE7D82"/>
    <w:rsid w:val="00FF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34"/>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5343-1EFF-4B72-ABC3-14925ED9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1711</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37</cp:revision>
  <cp:lastPrinted>2025-03-26T19:28:00Z</cp:lastPrinted>
  <dcterms:created xsi:type="dcterms:W3CDTF">2024-12-16T14:52:00Z</dcterms:created>
  <dcterms:modified xsi:type="dcterms:W3CDTF">2025-05-15T18:56:00Z</dcterms:modified>
</cp:coreProperties>
</file>