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8C" w:rsidRPr="005B022D" w:rsidRDefault="00660E8C" w:rsidP="0075490A">
      <w:pPr>
        <w:spacing w:before="100" w:beforeAutospacing="1" w:after="100" w:afterAutospacing="1"/>
        <w:ind w:firstLine="708"/>
        <w:rPr>
          <w:rFonts w:asciiTheme="minorHAnsi" w:hAnsiTheme="minorHAnsi" w:cstheme="minorHAnsi"/>
          <w:b/>
          <w:bCs/>
          <w:i/>
          <w:iCs/>
          <w:sz w:val="32"/>
          <w:szCs w:val="32"/>
          <w:u w:val="single"/>
        </w:rPr>
      </w:pPr>
      <w:r>
        <w:t xml:space="preserve">                                                             </w:t>
      </w:r>
      <w:r w:rsidRPr="005B022D">
        <w:rPr>
          <w:rFonts w:asciiTheme="minorHAnsi" w:hAnsiTheme="minorHAnsi" w:cstheme="minorHAnsi"/>
          <w:b/>
          <w:bCs/>
          <w:i/>
          <w:iCs/>
          <w:sz w:val="32"/>
          <w:szCs w:val="32"/>
          <w:u w:val="single"/>
        </w:rPr>
        <w:t>TERMO DE REFERÊNCIA</w:t>
      </w:r>
    </w:p>
    <w:p w:rsidR="00660E8C" w:rsidRPr="005F0694" w:rsidRDefault="00660E8C" w:rsidP="00660E8C">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660E8C" w:rsidRDefault="00660E8C" w:rsidP="00660E8C">
      <w:pPr>
        <w:spacing w:before="100" w:beforeAutospacing="1" w:after="100" w:afterAutospacing="1"/>
        <w:jc w:val="both"/>
        <w:rPr>
          <w:rFonts w:ascii="Century Gothic" w:hAnsi="Century Gothic"/>
        </w:rPr>
      </w:pPr>
      <w:r w:rsidRPr="00522017">
        <w:rPr>
          <w:rFonts w:ascii="Century Gothic" w:hAnsi="Century Gothic"/>
        </w:rPr>
        <w:t>1.1.</w:t>
      </w:r>
      <w:r>
        <w:rPr>
          <w:rFonts w:ascii="Century Gothic" w:hAnsi="Century Gothic"/>
        </w:rPr>
        <w:t xml:space="preserve"> </w:t>
      </w:r>
      <w:r w:rsidR="00687910" w:rsidRPr="00687910">
        <w:rPr>
          <w:rFonts w:ascii="Century Gothic" w:hAnsi="Century Gothic"/>
        </w:rPr>
        <w:t xml:space="preserve">O objeto do presente termo de referência tem por finalidade a </w:t>
      </w:r>
      <w:r w:rsidR="00CC51CE" w:rsidRPr="00CC51CE">
        <w:rPr>
          <w:rFonts w:ascii="Century Gothic" w:hAnsi="Century Gothic"/>
        </w:rPr>
        <w:t>Contratação de empresa especializada prestadora de serviços de organização, planejamento e realização de processo seletivo para vaga de Agente Comunitário de Saúde – ACS para quadro de funcionários, para a Secretaria de Saúde da Prefeitura Municipal de Santo Antônio do Grama.</w:t>
      </w:r>
      <w:bookmarkStart w:id="0" w:name="_GoBack"/>
      <w:bookmarkEnd w:id="0"/>
    </w:p>
    <w:tbl>
      <w:tblPr>
        <w:tblStyle w:val="Tabelacomgrade"/>
        <w:tblW w:w="9067" w:type="dxa"/>
        <w:tblLook w:val="04A0" w:firstRow="1" w:lastRow="0" w:firstColumn="1" w:lastColumn="0" w:noHBand="0" w:noVBand="1"/>
      </w:tblPr>
      <w:tblGrid>
        <w:gridCol w:w="706"/>
        <w:gridCol w:w="966"/>
        <w:gridCol w:w="839"/>
        <w:gridCol w:w="4543"/>
        <w:gridCol w:w="1023"/>
        <w:gridCol w:w="990"/>
      </w:tblGrid>
      <w:tr w:rsidR="0075490A" w:rsidTr="000C3C0A">
        <w:tc>
          <w:tcPr>
            <w:tcW w:w="706" w:type="dxa"/>
          </w:tcPr>
          <w:p w:rsidR="0075490A" w:rsidRPr="002D2640" w:rsidRDefault="0075490A" w:rsidP="000C3C0A">
            <w:pPr>
              <w:jc w:val="center"/>
              <w:rPr>
                <w:sz w:val="20"/>
              </w:rPr>
            </w:pPr>
            <w:r>
              <w:rPr>
                <w:sz w:val="20"/>
              </w:rPr>
              <w:t>ITEM</w:t>
            </w:r>
          </w:p>
        </w:tc>
        <w:tc>
          <w:tcPr>
            <w:tcW w:w="966" w:type="dxa"/>
          </w:tcPr>
          <w:p w:rsidR="0075490A" w:rsidRPr="002D2640" w:rsidRDefault="0075490A" w:rsidP="000C3C0A">
            <w:pPr>
              <w:jc w:val="center"/>
              <w:rPr>
                <w:sz w:val="20"/>
              </w:rPr>
            </w:pPr>
            <w:r w:rsidRPr="002D2640">
              <w:rPr>
                <w:sz w:val="20"/>
              </w:rPr>
              <w:t>QUANT.</w:t>
            </w:r>
          </w:p>
        </w:tc>
        <w:tc>
          <w:tcPr>
            <w:tcW w:w="839" w:type="dxa"/>
          </w:tcPr>
          <w:p w:rsidR="0075490A" w:rsidRPr="002D2640" w:rsidRDefault="0075490A" w:rsidP="000C3C0A">
            <w:pPr>
              <w:jc w:val="center"/>
              <w:rPr>
                <w:sz w:val="20"/>
              </w:rPr>
            </w:pPr>
            <w:r w:rsidRPr="002D2640">
              <w:rPr>
                <w:sz w:val="20"/>
              </w:rPr>
              <w:t>UNID.</w:t>
            </w:r>
          </w:p>
        </w:tc>
        <w:tc>
          <w:tcPr>
            <w:tcW w:w="4543" w:type="dxa"/>
          </w:tcPr>
          <w:p w:rsidR="0075490A" w:rsidRPr="002D2640" w:rsidRDefault="0075490A" w:rsidP="000C3C0A">
            <w:pPr>
              <w:jc w:val="center"/>
              <w:rPr>
                <w:sz w:val="20"/>
              </w:rPr>
            </w:pPr>
            <w:r w:rsidRPr="002D2640">
              <w:rPr>
                <w:sz w:val="20"/>
              </w:rPr>
              <w:t>DESCRIÇÃO</w:t>
            </w:r>
            <w:r>
              <w:rPr>
                <w:sz w:val="20"/>
              </w:rPr>
              <w:t xml:space="preserve"> DO OBJETO</w:t>
            </w:r>
          </w:p>
        </w:tc>
        <w:tc>
          <w:tcPr>
            <w:tcW w:w="1023" w:type="dxa"/>
          </w:tcPr>
          <w:p w:rsidR="0075490A" w:rsidRPr="002D2640" w:rsidRDefault="0075490A" w:rsidP="000C3C0A">
            <w:pPr>
              <w:jc w:val="center"/>
              <w:rPr>
                <w:sz w:val="20"/>
              </w:rPr>
            </w:pPr>
            <w:r w:rsidRPr="002D2640">
              <w:rPr>
                <w:sz w:val="20"/>
              </w:rPr>
              <w:t>VALOR UNIT.</w:t>
            </w:r>
          </w:p>
        </w:tc>
        <w:tc>
          <w:tcPr>
            <w:tcW w:w="990" w:type="dxa"/>
            <w:shd w:val="clear" w:color="auto" w:fill="auto"/>
          </w:tcPr>
          <w:p w:rsidR="0075490A" w:rsidRPr="002D2640" w:rsidRDefault="0075490A" w:rsidP="000C3C0A">
            <w:pPr>
              <w:spacing w:after="160" w:line="259" w:lineRule="auto"/>
              <w:jc w:val="center"/>
              <w:rPr>
                <w:sz w:val="20"/>
              </w:rPr>
            </w:pPr>
            <w:r w:rsidRPr="002D2640">
              <w:rPr>
                <w:sz w:val="20"/>
              </w:rPr>
              <w:t>VALOR TOTAL</w:t>
            </w:r>
          </w:p>
        </w:tc>
      </w:tr>
      <w:tr w:rsidR="0075490A" w:rsidTr="000C3C0A">
        <w:tc>
          <w:tcPr>
            <w:tcW w:w="706" w:type="dxa"/>
          </w:tcPr>
          <w:p w:rsidR="0075490A" w:rsidRDefault="0075490A" w:rsidP="000C3C0A">
            <w:pPr>
              <w:jc w:val="center"/>
              <w:rPr>
                <w:sz w:val="20"/>
              </w:rPr>
            </w:pPr>
            <w:r>
              <w:rPr>
                <w:sz w:val="20"/>
              </w:rPr>
              <w:t>01</w:t>
            </w:r>
          </w:p>
        </w:tc>
        <w:tc>
          <w:tcPr>
            <w:tcW w:w="966" w:type="dxa"/>
          </w:tcPr>
          <w:p w:rsidR="0075490A" w:rsidRPr="002D2640" w:rsidRDefault="0075490A" w:rsidP="000C3C0A">
            <w:pPr>
              <w:jc w:val="center"/>
              <w:rPr>
                <w:sz w:val="20"/>
              </w:rPr>
            </w:pPr>
            <w:r>
              <w:rPr>
                <w:sz w:val="20"/>
              </w:rPr>
              <w:t>01</w:t>
            </w:r>
          </w:p>
        </w:tc>
        <w:tc>
          <w:tcPr>
            <w:tcW w:w="839" w:type="dxa"/>
          </w:tcPr>
          <w:p w:rsidR="0075490A" w:rsidRPr="002D2640" w:rsidRDefault="0075490A" w:rsidP="000C3C0A">
            <w:pPr>
              <w:jc w:val="center"/>
              <w:rPr>
                <w:sz w:val="20"/>
              </w:rPr>
            </w:pPr>
            <w:r>
              <w:rPr>
                <w:sz w:val="20"/>
              </w:rPr>
              <w:t>UNID</w:t>
            </w:r>
          </w:p>
        </w:tc>
        <w:tc>
          <w:tcPr>
            <w:tcW w:w="4543" w:type="dxa"/>
          </w:tcPr>
          <w:p w:rsidR="0075490A" w:rsidRPr="00CB2956" w:rsidRDefault="0075490A" w:rsidP="000C3C0A">
            <w:pPr>
              <w:shd w:val="clear" w:color="auto" w:fill="FFFFFF"/>
              <w:jc w:val="both"/>
              <w:rPr>
                <w:color w:val="000000" w:themeColor="text1"/>
              </w:rPr>
            </w:pPr>
            <w:r>
              <w:t>CONTRATAÇÃO DE EMPRESA ESPECIALIZADA PRESTADORA DE SERVIÇOS DE ORGANIZAÇÃO, PLANEJAMENTO E REALIZAÇÃO DE PROCESSO SELETIVO PARA VAGA DE AGENTE COMUNITÁRIO DE SAÚDE - ACS PARA QUADRO DE FUNCIONÁRIOS DA PREFEITURA MUNICIPAL DE SANTO ANTÔNIO DO GRAMA. COMPREENDENDO A ELABORAÇÃO DO CALENDÁRIO; DAS INSCRIÇÕES; CONFECÇÃO E ELABORAÇÃO DE EDITAIS; PREPARO E PUBLICAÇÃO DE ROL DE INSCRITOS; PREPARO DO EDITAL DE CONVOCAÇÃO PARA AS PROVAS OBJETIVAS; PREPARO, IMPRESSÃO E EMPACOTAMENTO DE PROVAS OBJETIVAS, PRÁTICAS; APLICAÇÃO, COORDENAÇÃO E CORREÇÃO DAS PROVAS ESCRITAS, PRÁTICAS; CORREÇÃO DAS PROVAS OBJETIVAS ATRAVÉS DE EQUIPAMENTO DE LEITURA ÓTICA, APRESENTAÇÃO DE RESULTADO, RESPOSTAS AOS EVENTUAIS RECURSOS, CONTRATAÇÃO DE FISCAIS PARA APLICAÇÃO DAS PROVAS, APOIO TÉCNICO JURIDICO EM TODAS AS ETAPAS DOS CERTAMES, CONSIDRANDO AS ESPECIFICIDADES DO CARGO DE ACS.  TRAMITAÇÃO DO CONCURSO JUNTO AO TRIBUNAL DE CONTAS. ANEXO A RELAÇÃO DAS VAGAS.</w:t>
            </w:r>
          </w:p>
        </w:tc>
        <w:tc>
          <w:tcPr>
            <w:tcW w:w="1023" w:type="dxa"/>
          </w:tcPr>
          <w:p w:rsidR="0075490A" w:rsidRPr="002D2640" w:rsidRDefault="0075490A" w:rsidP="000C3C0A">
            <w:pPr>
              <w:jc w:val="center"/>
              <w:rPr>
                <w:sz w:val="20"/>
              </w:rPr>
            </w:pPr>
          </w:p>
        </w:tc>
        <w:tc>
          <w:tcPr>
            <w:tcW w:w="990" w:type="dxa"/>
            <w:shd w:val="clear" w:color="auto" w:fill="auto"/>
          </w:tcPr>
          <w:p w:rsidR="0075490A" w:rsidRPr="002D2640" w:rsidRDefault="0075490A" w:rsidP="000C3C0A">
            <w:pPr>
              <w:spacing w:after="160" w:line="259" w:lineRule="auto"/>
              <w:jc w:val="center"/>
              <w:rPr>
                <w:sz w:val="20"/>
              </w:rPr>
            </w:pPr>
          </w:p>
        </w:tc>
      </w:tr>
    </w:tbl>
    <w:p w:rsidR="0075490A" w:rsidRDefault="0075490A" w:rsidP="00660E8C">
      <w:pPr>
        <w:spacing w:before="100" w:beforeAutospacing="1" w:after="100" w:afterAutospacing="1"/>
        <w:jc w:val="both"/>
        <w:rPr>
          <w:rFonts w:ascii="Century Gothic" w:hAnsi="Century Gothic" w:cs="Segoe UI"/>
        </w:rPr>
      </w:pPr>
    </w:p>
    <w:p w:rsidR="00660E8C" w:rsidRDefault="00660E8C" w:rsidP="00660E8C">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660E8C" w:rsidRDefault="00660E8C" w:rsidP="00660E8C">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660E8C" w:rsidRDefault="00660E8C" w:rsidP="00660E8C">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lastRenderedPageBreak/>
        <w:t>3. Da descrição da solução como um todo, considerando todo o ciclo de vida do objeto</w:t>
      </w:r>
    </w:p>
    <w:p w:rsidR="00660E8C" w:rsidRDefault="00660E8C" w:rsidP="00660E8C">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660E8C" w:rsidRDefault="00660E8C" w:rsidP="00660E8C">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660E8C" w:rsidRDefault="00660E8C" w:rsidP="00660E8C">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660E8C" w:rsidRPr="00C725AB" w:rsidRDefault="00660E8C" w:rsidP="00660E8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Pr="00C725AB">
        <w:rPr>
          <w:rFonts w:ascii="Segoe UI" w:hAnsi="Segoe UI" w:cs="Segoe UI"/>
          <w:b/>
          <w:sz w:val="23"/>
          <w:szCs w:val="23"/>
        </w:rPr>
        <w:t>. Do modelo de gestão do contrato administrativo</w:t>
      </w:r>
    </w:p>
    <w:p w:rsidR="00FB0674" w:rsidRDefault="00660E8C" w:rsidP="00FB0674">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Pr="00C725AB">
        <w:rPr>
          <w:rFonts w:ascii="Segoe UI" w:eastAsiaTheme="minorHAnsi" w:hAnsi="Segoe UI" w:cs="Segoe UI"/>
          <w:color w:val="000000"/>
          <w:sz w:val="23"/>
          <w:szCs w:val="23"/>
        </w:rPr>
        <w:t xml:space="preserve">. </w:t>
      </w:r>
      <w:r w:rsidR="00FB0674" w:rsidRPr="00FB0674">
        <w:rPr>
          <w:rFonts w:ascii="Segoe UI" w:eastAsiaTheme="minorHAnsi" w:hAnsi="Segoe UI" w:cs="Segoe UI"/>
          <w:sz w:val="23"/>
          <w:szCs w:val="23"/>
        </w:rPr>
        <w:t>A gestão do contrato decorrente da presente contratação será realizada conforme os dispositivos previstos na Lei Federal nº 14.133/2021, com observância das boas práticas de governança, controle e responsabilização dos agentes envolvidos. A Administração adotará o segui</w:t>
      </w:r>
      <w:r w:rsidR="00FB0674">
        <w:rPr>
          <w:rFonts w:ascii="Segoe UI" w:eastAsiaTheme="minorHAnsi" w:hAnsi="Segoe UI" w:cs="Segoe UI"/>
          <w:sz w:val="23"/>
          <w:szCs w:val="23"/>
        </w:rPr>
        <w:t>nte modelo de gestão contratual.</w:t>
      </w:r>
    </w:p>
    <w:p w:rsid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5.2. </w:t>
      </w:r>
      <w:r w:rsidRPr="00FB0674">
        <w:rPr>
          <w:rFonts w:ascii="Segoe UI" w:eastAsiaTheme="minorHAnsi" w:hAnsi="Segoe UI" w:cs="Segoe UI"/>
          <w:sz w:val="23"/>
          <w:szCs w:val="23"/>
        </w:rPr>
        <w:t>A autoridade competente designará, mediante portaria, servidor efetivo como gestor do contrato, responsável pelo acompanhamento da execução contratual sob os aspectos técnico, administrativo, financeiro e documental, nos termos do art. 117 da Lei nº 14.133/2021.</w:t>
      </w:r>
    </w:p>
    <w:p w:rsidR="00FB0674" w:rsidRP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5.2.1</w:t>
      </w:r>
      <w:r w:rsidRPr="00FB0674">
        <w:rPr>
          <w:rFonts w:ascii="Segoe UI" w:eastAsiaTheme="minorHAnsi" w:hAnsi="Segoe UI" w:cs="Segoe UI"/>
          <w:sz w:val="23"/>
          <w:szCs w:val="23"/>
        </w:rPr>
        <w:t xml:space="preserve"> Poderão ser nomeados fiscais setoriais, conforme a complexidade e a especificidade do objeto, para atuarem em conjunto com o gestor, com atribuições específicas, como fiscalização técnica, contábil, jurídica ou operacional.</w:t>
      </w:r>
    </w:p>
    <w:p w:rsidR="00FB0674" w:rsidRP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5.3. </w:t>
      </w:r>
      <w:r w:rsidRPr="00FB0674">
        <w:rPr>
          <w:rFonts w:ascii="Segoe UI" w:eastAsiaTheme="minorHAnsi" w:hAnsi="Segoe UI" w:cs="Segoe UI"/>
          <w:sz w:val="23"/>
          <w:szCs w:val="23"/>
        </w:rPr>
        <w:t>Verificação do cumprimento dos prazos estabelecidos no cronograma do processo seletivo;</w:t>
      </w:r>
    </w:p>
    <w:p w:rsidR="00FB0674" w:rsidRP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5.3.1. </w:t>
      </w:r>
      <w:r w:rsidRPr="00FB0674">
        <w:rPr>
          <w:rFonts w:ascii="Segoe UI" w:eastAsiaTheme="minorHAnsi" w:hAnsi="Segoe UI" w:cs="Segoe UI"/>
          <w:sz w:val="23"/>
          <w:szCs w:val="23"/>
        </w:rPr>
        <w:t>Conferência da qualidade dos serviços prestados (publicações, provas, segurança das informações, relatórios, etc.);</w:t>
      </w:r>
    </w:p>
    <w:p w:rsid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5.3.2. </w:t>
      </w:r>
      <w:r w:rsidRPr="00FB0674">
        <w:rPr>
          <w:rFonts w:ascii="Segoe UI" w:eastAsiaTheme="minorHAnsi" w:hAnsi="Segoe UI" w:cs="Segoe UI"/>
          <w:sz w:val="23"/>
          <w:szCs w:val="23"/>
        </w:rPr>
        <w:t xml:space="preserve">Registro sistemático das ocorrências relevantes no relatório de fiscalização contratual, conforme exigido pelo art. </w:t>
      </w:r>
      <w:r>
        <w:rPr>
          <w:rFonts w:ascii="Segoe UI" w:eastAsiaTheme="minorHAnsi" w:hAnsi="Segoe UI" w:cs="Segoe UI"/>
          <w:sz w:val="23"/>
          <w:szCs w:val="23"/>
        </w:rPr>
        <w:t>117, §4º da Lei nº 14.133/2021;</w:t>
      </w:r>
    </w:p>
    <w:p w:rsidR="00FB0674" w:rsidRP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5.3.3. </w:t>
      </w:r>
      <w:r w:rsidRPr="00FB0674">
        <w:rPr>
          <w:rFonts w:ascii="Segoe UI" w:eastAsiaTheme="minorHAnsi" w:hAnsi="Segoe UI" w:cs="Segoe UI"/>
          <w:sz w:val="23"/>
          <w:szCs w:val="23"/>
        </w:rPr>
        <w:t>Recebimento provisório e definitivo do objeto, mediante termo circunstanciado, nos moldes do art. 140 da nova Lei de Licitações.</w:t>
      </w:r>
    </w:p>
    <w:p w:rsidR="00FB0674" w:rsidRP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5.4. </w:t>
      </w:r>
      <w:r w:rsidRPr="00FB0674">
        <w:rPr>
          <w:rFonts w:ascii="Segoe UI" w:eastAsiaTheme="minorHAnsi" w:hAnsi="Segoe UI" w:cs="Segoe UI"/>
          <w:sz w:val="23"/>
          <w:szCs w:val="23"/>
        </w:rPr>
        <w:t xml:space="preserve">A contratada deverá manter comunicação permanente com o gestor do contrato </w:t>
      </w:r>
      <w:r w:rsidRPr="00FB0674">
        <w:rPr>
          <w:rFonts w:ascii="Segoe UI" w:eastAsiaTheme="minorHAnsi" w:hAnsi="Segoe UI" w:cs="Segoe UI"/>
          <w:sz w:val="23"/>
          <w:szCs w:val="23"/>
        </w:rPr>
        <w:lastRenderedPageBreak/>
        <w:t>e apresentar relatórios parciais e final de execução, comprovando o cumprimento das etapas. Toda documentação será arquivada no processo administrativo correspondente, garantindo rastreabilidade, publicidade e controle.</w:t>
      </w:r>
    </w:p>
    <w:p w:rsidR="00FB0674" w:rsidRPr="00FB0674" w:rsidRDefault="00FB0674" w:rsidP="00FB0674">
      <w:pPr>
        <w:spacing w:after="160" w:line="300" w:lineRule="auto"/>
        <w:jc w:val="both"/>
        <w:rPr>
          <w:rFonts w:ascii="Segoe UI" w:eastAsiaTheme="minorHAnsi" w:hAnsi="Segoe UI" w:cs="Segoe UI"/>
          <w:sz w:val="23"/>
          <w:szCs w:val="23"/>
        </w:rPr>
      </w:pPr>
    </w:p>
    <w:p w:rsidR="00FB0674" w:rsidRPr="00FB0674"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5.6. </w:t>
      </w:r>
      <w:r w:rsidRPr="00FB0674">
        <w:rPr>
          <w:rFonts w:ascii="Segoe UI" w:eastAsiaTheme="minorHAnsi" w:hAnsi="Segoe UI" w:cs="Segoe UI"/>
          <w:sz w:val="23"/>
          <w:szCs w:val="23"/>
        </w:rPr>
        <w:t>O gestor do contrato deverá aplicar as medidas preventivas previstas no Plano de Gestão de Riscos elaborado previamente no ETP e constante do Termo de Referência, devendo também comunicar a autoridade competente sobre eventuais inadimplementos, atrasos, falhas técnicas ou ri</w:t>
      </w:r>
      <w:r>
        <w:rPr>
          <w:rFonts w:ascii="Segoe UI" w:eastAsiaTheme="minorHAnsi" w:hAnsi="Segoe UI" w:cs="Segoe UI"/>
          <w:sz w:val="23"/>
          <w:szCs w:val="23"/>
        </w:rPr>
        <w:t>scos à continuidade contratual.</w:t>
      </w:r>
    </w:p>
    <w:p w:rsidR="00660E8C" w:rsidRDefault="00FB0674" w:rsidP="00FB0674">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 xml:space="preserve">5.7. </w:t>
      </w:r>
      <w:r w:rsidRPr="00FB0674">
        <w:rPr>
          <w:rFonts w:ascii="Segoe UI" w:eastAsiaTheme="minorHAnsi" w:hAnsi="Segoe UI" w:cs="Segoe UI"/>
          <w:sz w:val="23"/>
          <w:szCs w:val="23"/>
        </w:rPr>
        <w:t>Em caso de descumprimento das obrigações contratuais, a contratada estará sujeita às sanções administrativas previstas na Lei nº 14.133/2021 (advertência, multa, impedimento de licitar e contratar, declaração de inidoneidade), observando-se o devido processo legal e o contraditório.</w:t>
      </w:r>
    </w:p>
    <w:p w:rsidR="00FB0674" w:rsidRDefault="00FB0674" w:rsidP="00FB0674">
      <w:pPr>
        <w:spacing w:after="160" w:line="300" w:lineRule="auto"/>
        <w:jc w:val="both"/>
        <w:rPr>
          <w:rFonts w:ascii="Segoe UI" w:hAnsi="Segoe UI" w:cs="Segoe UI"/>
          <w:sz w:val="23"/>
          <w:szCs w:val="23"/>
        </w:rPr>
      </w:pPr>
    </w:p>
    <w:p w:rsidR="00660E8C" w:rsidRPr="00C725AB" w:rsidRDefault="00660E8C" w:rsidP="00660E8C">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Pr="00C725AB">
        <w:rPr>
          <w:rFonts w:ascii="Segoe UI" w:eastAsiaTheme="minorHAnsi" w:hAnsi="Segoe UI" w:cs="Segoe UI"/>
          <w:b/>
          <w:color w:val="000000"/>
          <w:sz w:val="23"/>
          <w:szCs w:val="23"/>
        </w:rPr>
        <w:t>. Dos critérios de medição e de pagamento</w:t>
      </w:r>
    </w:p>
    <w:p w:rsidR="00FB0674" w:rsidRPr="00FB0674" w:rsidRDefault="00FB0674" w:rsidP="00FB0674">
      <w:pPr>
        <w:spacing w:after="160" w:line="300" w:lineRule="auto"/>
        <w:jc w:val="both"/>
        <w:rPr>
          <w:rFonts w:ascii="Segoe UI" w:eastAsiaTheme="minorHAnsi" w:hAnsi="Segoe UI" w:cs="Segoe UI"/>
          <w:color w:val="000000"/>
          <w:sz w:val="23"/>
          <w:szCs w:val="23"/>
        </w:rPr>
      </w:pPr>
      <w:r w:rsidRPr="00FB0674">
        <w:rPr>
          <w:rFonts w:ascii="Segoe UI" w:eastAsiaTheme="minorHAnsi" w:hAnsi="Segoe UI" w:cs="Segoe UI"/>
          <w:color w:val="000000"/>
          <w:sz w:val="23"/>
          <w:szCs w:val="23"/>
        </w:rPr>
        <w:t>A execução contratual será acompanhada e fiscalizada pelo gestor designado, que atestará a conformidade dos serviços prestados e servirá de base para a realização do pagamento, nos termos do art. 141 da Lei nº 14.133/2021.</w:t>
      </w:r>
    </w:p>
    <w:p w:rsidR="00FB0674" w:rsidRPr="00FB0674" w:rsidRDefault="00FB0674" w:rsidP="00FB0674">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 xml:space="preserve">6.1. </w:t>
      </w:r>
      <w:r w:rsidRPr="00FB0674">
        <w:rPr>
          <w:rFonts w:ascii="Segoe UI" w:eastAsiaTheme="minorHAnsi" w:hAnsi="Segoe UI" w:cs="Segoe UI"/>
          <w:color w:val="000000"/>
          <w:sz w:val="23"/>
          <w:szCs w:val="23"/>
        </w:rPr>
        <w:t xml:space="preserve">O pagamento à contratada será efetuado </w:t>
      </w:r>
      <w:r>
        <w:rPr>
          <w:rFonts w:ascii="Segoe UI" w:eastAsiaTheme="minorHAnsi" w:hAnsi="Segoe UI" w:cs="Segoe UI"/>
          <w:color w:val="000000"/>
          <w:sz w:val="23"/>
          <w:szCs w:val="23"/>
        </w:rPr>
        <w:t>parcelado</w:t>
      </w:r>
      <w:r w:rsidRPr="00FB0674">
        <w:rPr>
          <w:rFonts w:ascii="Segoe UI" w:eastAsiaTheme="minorHAnsi" w:hAnsi="Segoe UI" w:cs="Segoe UI"/>
          <w:color w:val="000000"/>
          <w:sz w:val="23"/>
          <w:szCs w:val="23"/>
        </w:rPr>
        <w:t>, após a entrega e a conclusão dos serviços contratados, devidamente atestados pelo gestor do contrato, conforme os critérios abaixo:</w:t>
      </w:r>
    </w:p>
    <w:p w:rsidR="00FB0674" w:rsidRPr="00FB0674" w:rsidRDefault="00FB0674" w:rsidP="00FB0674">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 xml:space="preserve">6.1.1 </w:t>
      </w:r>
      <w:r w:rsidRPr="00FB0674">
        <w:rPr>
          <w:rFonts w:ascii="Segoe UI" w:eastAsiaTheme="minorHAnsi" w:hAnsi="Segoe UI" w:cs="Segoe UI"/>
          <w:color w:val="000000"/>
          <w:sz w:val="23"/>
          <w:szCs w:val="23"/>
        </w:rPr>
        <w:t>Elaboração e disponibilização do edital e de seus anexos;</w:t>
      </w:r>
      <w:r w:rsidR="00FE7DD6">
        <w:rPr>
          <w:rFonts w:ascii="Segoe UI" w:eastAsiaTheme="minorHAnsi" w:hAnsi="Segoe UI" w:cs="Segoe UI"/>
          <w:color w:val="000000"/>
          <w:sz w:val="23"/>
          <w:szCs w:val="23"/>
        </w:rPr>
        <w:t xml:space="preserve"> 10%</w:t>
      </w:r>
      <w:r w:rsidR="00FE7DD6" w:rsidRPr="00FE7DD6">
        <w:rPr>
          <w:rFonts w:ascii="Segoe UI" w:eastAsiaTheme="minorHAnsi" w:hAnsi="Segoe UI" w:cs="Segoe UI"/>
          <w:color w:val="000000"/>
          <w:sz w:val="23"/>
          <w:szCs w:val="23"/>
        </w:rPr>
        <w:t xml:space="preserve"> </w:t>
      </w:r>
      <w:r w:rsidR="00FE7DD6">
        <w:rPr>
          <w:rFonts w:ascii="Segoe UI" w:eastAsiaTheme="minorHAnsi" w:hAnsi="Segoe UI" w:cs="Segoe UI"/>
          <w:color w:val="000000"/>
          <w:sz w:val="23"/>
          <w:szCs w:val="23"/>
        </w:rPr>
        <w:t>do pagamento</w:t>
      </w:r>
    </w:p>
    <w:p w:rsidR="00FB0674" w:rsidRPr="00FB0674" w:rsidRDefault="00FB0674" w:rsidP="00FB0674">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 xml:space="preserve">6.1.2 </w:t>
      </w:r>
      <w:r w:rsidRPr="00FB0674">
        <w:rPr>
          <w:rFonts w:ascii="Segoe UI" w:eastAsiaTheme="minorHAnsi" w:hAnsi="Segoe UI" w:cs="Segoe UI"/>
          <w:color w:val="000000"/>
          <w:sz w:val="23"/>
          <w:szCs w:val="23"/>
        </w:rPr>
        <w:t>Execução de todas as etapas do certame (inscrição, prova, divulgação de resu</w:t>
      </w:r>
      <w:r>
        <w:rPr>
          <w:rFonts w:ascii="Segoe UI" w:eastAsiaTheme="minorHAnsi" w:hAnsi="Segoe UI" w:cs="Segoe UI"/>
          <w:color w:val="000000"/>
          <w:sz w:val="23"/>
          <w:szCs w:val="23"/>
        </w:rPr>
        <w:t>ltados, recursos, homologação);</w:t>
      </w:r>
      <w:r w:rsidR="00FE7DD6">
        <w:rPr>
          <w:rFonts w:ascii="Segoe UI" w:eastAsiaTheme="minorHAnsi" w:hAnsi="Segoe UI" w:cs="Segoe UI"/>
          <w:color w:val="000000"/>
          <w:sz w:val="23"/>
          <w:szCs w:val="23"/>
        </w:rPr>
        <w:t xml:space="preserve"> 40%</w:t>
      </w:r>
      <w:r w:rsidR="00FE7DD6" w:rsidRPr="00FE7DD6">
        <w:rPr>
          <w:rFonts w:ascii="Segoe UI" w:eastAsiaTheme="minorHAnsi" w:hAnsi="Segoe UI" w:cs="Segoe UI"/>
          <w:color w:val="000000"/>
          <w:sz w:val="23"/>
          <w:szCs w:val="23"/>
        </w:rPr>
        <w:t xml:space="preserve"> </w:t>
      </w:r>
      <w:r w:rsidR="00FE7DD6">
        <w:rPr>
          <w:rFonts w:ascii="Segoe UI" w:eastAsiaTheme="minorHAnsi" w:hAnsi="Segoe UI" w:cs="Segoe UI"/>
          <w:color w:val="000000"/>
          <w:sz w:val="23"/>
          <w:szCs w:val="23"/>
        </w:rPr>
        <w:t>do pagamento</w:t>
      </w:r>
    </w:p>
    <w:p w:rsidR="00FB0674" w:rsidRDefault="00FB0674" w:rsidP="00FB0674">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 xml:space="preserve">6.1.3 </w:t>
      </w:r>
      <w:r w:rsidRPr="00FB0674">
        <w:rPr>
          <w:rFonts w:ascii="Segoe UI" w:eastAsiaTheme="minorHAnsi" w:hAnsi="Segoe UI" w:cs="Segoe UI"/>
          <w:color w:val="000000"/>
          <w:sz w:val="23"/>
          <w:szCs w:val="23"/>
        </w:rPr>
        <w:t>Entrega de relatório final com documentação comprobatória de todas as fases do processo seletivo.</w:t>
      </w:r>
      <w:r w:rsidR="00FE7DD6">
        <w:rPr>
          <w:rFonts w:ascii="Segoe UI" w:eastAsiaTheme="minorHAnsi" w:hAnsi="Segoe UI" w:cs="Segoe UI"/>
          <w:color w:val="000000"/>
          <w:sz w:val="23"/>
          <w:szCs w:val="23"/>
        </w:rPr>
        <w:t xml:space="preserve"> 50% do pagamento</w:t>
      </w:r>
    </w:p>
    <w:p w:rsidR="00FB0674" w:rsidRPr="00FB0674" w:rsidRDefault="00FB0674" w:rsidP="00FB0674">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 xml:space="preserve">6.2. </w:t>
      </w:r>
      <w:r w:rsidRPr="00FB0674">
        <w:rPr>
          <w:rFonts w:ascii="Segoe UI" w:eastAsiaTheme="minorHAnsi" w:hAnsi="Segoe UI" w:cs="Segoe UI"/>
          <w:color w:val="000000"/>
          <w:sz w:val="23"/>
          <w:szCs w:val="23"/>
        </w:rPr>
        <w:t>O prazo para pagamento será de até 30 (trinta) dias corridos, contados da data final do período de adimplemento da obrigação, nos termos do art. 141 da Lei nº 14.133/2021.</w:t>
      </w:r>
    </w:p>
    <w:p w:rsidR="00FB0674" w:rsidRDefault="00FB0674" w:rsidP="00FB0674">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lastRenderedPageBreak/>
        <w:t xml:space="preserve">6.3. </w:t>
      </w:r>
      <w:r w:rsidRPr="00FB0674">
        <w:rPr>
          <w:rFonts w:ascii="Segoe UI" w:eastAsiaTheme="minorHAnsi" w:hAnsi="Segoe UI" w:cs="Segoe UI"/>
          <w:color w:val="000000"/>
          <w:sz w:val="23"/>
          <w:szCs w:val="23"/>
        </w:rPr>
        <w:t>Caso os serviços executados estejam em desacordo com o contrato ou apresentem falhas, o pagamento poderá ser suspenso até a sua correção, sendo conferido prazo razoável para saneamento, nos termos do art. 140, §2º da Lei nº 14.133/2021. Persistindo o descumprimento, poderão ser aplicadas as sanções contratuais cabíveis, com possibilidade de rescisão.</w:t>
      </w:r>
    </w:p>
    <w:p w:rsidR="00660E8C" w:rsidRPr="00C725AB" w:rsidRDefault="00660E8C" w:rsidP="00660E8C">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Pr="00C725AB">
        <w:rPr>
          <w:rFonts w:ascii="Segoe UI" w:eastAsiaTheme="minorHAnsi" w:hAnsi="Segoe UI" w:cs="Segoe UI"/>
          <w:b/>
          <w:color w:val="000000"/>
          <w:sz w:val="23"/>
          <w:szCs w:val="23"/>
        </w:rPr>
        <w:t>. Da forma e critérios de seleção do(a) fornecedor(a)</w:t>
      </w:r>
    </w:p>
    <w:p w:rsidR="00660E8C"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Pr="00720207">
        <w:rPr>
          <w:rFonts w:ascii="Segoe UI" w:hAnsi="Segoe UI" w:cs="Segoe UI"/>
          <w:color w:val="auto"/>
          <w:sz w:val="23"/>
          <w:szCs w:val="23"/>
        </w:rPr>
        <w:t>.1.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w:t>
      </w:r>
      <w:r w:rsidR="00340ACE">
        <w:rPr>
          <w:rFonts w:ascii="Segoe UI" w:hAnsi="Segoe UI" w:cs="Segoe UI"/>
          <w:color w:val="auto"/>
          <w:sz w:val="23"/>
          <w:szCs w:val="23"/>
        </w:rPr>
        <w:t xml:space="preserve">Dispensa </w:t>
      </w:r>
      <w:r>
        <w:rPr>
          <w:rFonts w:ascii="Segoe UI" w:hAnsi="Segoe UI" w:cs="Segoe UI"/>
          <w:color w:val="auto"/>
          <w:sz w:val="23"/>
          <w:szCs w:val="23"/>
        </w:rPr>
        <w:t>de Licitação Pública.</w:t>
      </w:r>
    </w:p>
    <w:p w:rsidR="00660E8C" w:rsidRPr="00A918AC" w:rsidRDefault="00660E8C" w:rsidP="00660E8C">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7.2</w:t>
      </w:r>
      <w:r w:rsidRPr="00A918AC">
        <w:rPr>
          <w:rFonts w:ascii="Segoe UI" w:hAnsi="Segoe UI" w:cs="Segoe UI"/>
          <w:b/>
          <w:color w:val="auto"/>
          <w:sz w:val="23"/>
          <w:szCs w:val="23"/>
        </w:rPr>
        <w:t>. Da Habilitação Jurídica:</w:t>
      </w:r>
    </w:p>
    <w:p w:rsidR="00660E8C" w:rsidRPr="00D1537B"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.1. Empresário individual: inscrição no Registre Público de Empresas Mercantis, a cargo da Junta Comercial respectiva;</w:t>
      </w:r>
    </w:p>
    <w:p w:rsidR="00660E8C" w:rsidRPr="00D1537B"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.2. Microempreendedor Individual – MEI: Certificador da Condição de Microempreendedor Individual – CCMEI;</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.4. Sociedade empresária estrangeira com atuação permanente no país: Decreto de autorização para funcionamento no Brasil;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60E8C" w:rsidRPr="00261FD7" w:rsidRDefault="00660E8C" w:rsidP="00660E8C">
      <w:pPr>
        <w:spacing w:after="160" w:line="300" w:lineRule="auto"/>
        <w:jc w:val="both"/>
        <w:rPr>
          <w:rFonts w:ascii="Segoe UI" w:hAnsi="Segoe UI" w:cs="Segoe UI"/>
          <w:b/>
          <w:sz w:val="23"/>
          <w:szCs w:val="23"/>
        </w:rPr>
      </w:pPr>
      <w:r>
        <w:rPr>
          <w:rFonts w:ascii="Segoe UI" w:hAnsi="Segoe UI" w:cs="Segoe UI"/>
          <w:sz w:val="23"/>
          <w:szCs w:val="23"/>
        </w:rPr>
        <w:t>7.2.7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7.2.8. </w:t>
      </w:r>
      <w:r w:rsidRPr="00D1537B">
        <w:rPr>
          <w:rFonts w:ascii="Segoe UI" w:hAnsi="Segoe UI" w:cs="Segoe UI"/>
          <w:sz w:val="23"/>
          <w:szCs w:val="23"/>
        </w:rPr>
        <w:t>Os documentos apresentados deverão estar acompanhados de todas as alterações ou da consolidação respectiva.</w:t>
      </w:r>
    </w:p>
    <w:p w:rsidR="00660E8C" w:rsidRPr="00D1537B" w:rsidRDefault="00660E8C" w:rsidP="00660E8C">
      <w:pPr>
        <w:spacing w:after="160" w:line="300" w:lineRule="auto"/>
        <w:jc w:val="both"/>
        <w:rPr>
          <w:rFonts w:ascii="Segoe UI" w:hAnsi="Segoe UI" w:cs="Segoe UI"/>
          <w:b/>
          <w:sz w:val="23"/>
          <w:szCs w:val="23"/>
        </w:rPr>
      </w:pPr>
      <w:r>
        <w:rPr>
          <w:rFonts w:ascii="Segoe UI" w:hAnsi="Segoe UI" w:cs="Segoe UI"/>
          <w:b/>
          <w:sz w:val="23"/>
          <w:szCs w:val="23"/>
        </w:rPr>
        <w:t>7.3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.3. Prova de regularidade perante a Fazenda Federal;</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.4. Prova de regularidade perante a Fazenda Estadual;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.5. Prova de regularidade perante a Fazenda Municipal;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.7. Prova de regularidade perante a Justiça do Trabalho;</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660E8C" w:rsidRPr="00CD6421" w:rsidRDefault="00660E8C" w:rsidP="00660E8C">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660E8C" w:rsidRDefault="00660E8C" w:rsidP="00660E8C">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r w:rsidR="00340ACE">
        <w:rPr>
          <w:rFonts w:ascii="Segoe UI" w:hAnsi="Segoe UI" w:cs="Segoe UI"/>
          <w:color w:val="auto"/>
          <w:sz w:val="23"/>
          <w:szCs w:val="23"/>
        </w:rPr>
        <w:t xml:space="preserve">sobre </w:t>
      </w:r>
      <w:r w:rsidRPr="00CD6421">
        <w:rPr>
          <w:rFonts w:ascii="Segoe UI" w:hAnsi="Segoe UI" w:cs="Segoe UI"/>
          <w:color w:val="auto"/>
          <w:sz w:val="23"/>
          <w:szCs w:val="23"/>
        </w:rPr>
        <w:t>falência expedida pelo distribuidor da sede da licitante.</w:t>
      </w:r>
    </w:p>
    <w:p w:rsidR="00FB0674" w:rsidRPr="00FB0674" w:rsidRDefault="00FB0674" w:rsidP="00FB0674">
      <w:pPr>
        <w:pStyle w:val="Nivel2"/>
        <w:spacing w:after="160" w:line="300" w:lineRule="auto"/>
        <w:rPr>
          <w:rFonts w:ascii="Segoe UI" w:hAnsi="Segoe UI" w:cs="Segoe UI"/>
          <w:color w:val="auto"/>
          <w:sz w:val="23"/>
          <w:szCs w:val="23"/>
        </w:rPr>
      </w:pPr>
      <w:r>
        <w:rPr>
          <w:rFonts w:ascii="Segoe UI" w:hAnsi="Segoe UI" w:cs="Segoe UI"/>
          <w:color w:val="auto"/>
          <w:sz w:val="23"/>
          <w:szCs w:val="23"/>
        </w:rPr>
        <w:t>8.5.2</w:t>
      </w:r>
      <w:r w:rsidRPr="00FB0674">
        <w:rPr>
          <w:rFonts w:ascii="Segoe UI" w:hAnsi="Segoe UI" w:cs="Segoe UI"/>
          <w:color w:val="auto"/>
          <w:sz w:val="23"/>
          <w:szCs w:val="23"/>
        </w:rPr>
        <w:t>.</w:t>
      </w:r>
      <w:r w:rsidRPr="00FB0674">
        <w:rPr>
          <w:rFonts w:ascii="Segoe UI" w:hAnsi="Segoe UI" w:cs="Segoe UI"/>
          <w:color w:val="auto"/>
          <w:sz w:val="23"/>
          <w:szCs w:val="23"/>
        </w:rPr>
        <w:tab/>
        <w:t>Balanço patrimonial, demonstração de resultado de exercício e demais demonstrações contábeis dos 02 (dois) últimos exercícios sociais (2022 e 2023) conforme a seguir:</w:t>
      </w:r>
    </w:p>
    <w:p w:rsidR="00FB0674" w:rsidRPr="00FB0674" w:rsidRDefault="00FB0674" w:rsidP="00FB0674">
      <w:pPr>
        <w:pStyle w:val="Nivel2"/>
        <w:spacing w:after="160" w:line="300" w:lineRule="auto"/>
        <w:rPr>
          <w:rFonts w:ascii="Segoe UI" w:hAnsi="Segoe UI" w:cs="Segoe UI"/>
          <w:color w:val="auto"/>
          <w:sz w:val="23"/>
          <w:szCs w:val="23"/>
        </w:rPr>
      </w:pPr>
      <w:r>
        <w:rPr>
          <w:rFonts w:ascii="Segoe UI" w:hAnsi="Segoe UI" w:cs="Segoe UI"/>
          <w:color w:val="auto"/>
          <w:sz w:val="23"/>
          <w:szCs w:val="23"/>
        </w:rPr>
        <w:lastRenderedPageBreak/>
        <w:t>8.5.3</w:t>
      </w:r>
      <w:r w:rsidRPr="00FB0674">
        <w:rPr>
          <w:rFonts w:ascii="Segoe UI" w:hAnsi="Segoe UI" w:cs="Segoe UI"/>
          <w:color w:val="auto"/>
          <w:sz w:val="23"/>
          <w:szCs w:val="23"/>
        </w:rPr>
        <w:tab/>
        <w:t>O balanço patrimonial limitar-se-á ao último exercício no caso de licitante ter sido constituída há menos de 02 (dois) anos</w:t>
      </w:r>
    </w:p>
    <w:p w:rsidR="00FB0674" w:rsidRPr="00CD6421" w:rsidRDefault="00FB0674" w:rsidP="00FB0674">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8.5.4</w:t>
      </w:r>
      <w:r w:rsidRPr="00FB0674">
        <w:rPr>
          <w:rFonts w:ascii="Segoe UI" w:hAnsi="Segoe UI" w:cs="Segoe UI"/>
          <w:color w:val="auto"/>
          <w:sz w:val="23"/>
          <w:szCs w:val="23"/>
        </w:rPr>
        <w:tab/>
        <w:t>O balanço patrimonial da empresa licitante deve comprovar que os índices de Liquidez Geral (LG), Liquidez Corrente (LC), e Solvência Geral (SG) são iguais ou superiores a 01 (um).</w:t>
      </w:r>
    </w:p>
    <w:p w:rsidR="00660E8C" w:rsidRPr="00D1537B"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8.9.3.2. A não regularização da documentação, no prazo previsto no item 8.9.3.1., implicará a decadência do direito à contratação, sem prejuízo das sanções previstas na Lei nº. 14.133/2021. </w:t>
      </w:r>
    </w:p>
    <w:p w:rsidR="00660E8C" w:rsidRPr="00C725AB" w:rsidRDefault="00660E8C" w:rsidP="00660E8C">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660E8C" w:rsidRDefault="00660E8C" w:rsidP="00660E8C">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660E8C" w:rsidRPr="00C725AB" w:rsidRDefault="00660E8C" w:rsidP="00660E8C">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660E8C" w:rsidRPr="00C725AB" w:rsidRDefault="00660E8C" w:rsidP="00660E8C">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p>
    <w:p w:rsidR="00660E8C" w:rsidRPr="00FB0674" w:rsidRDefault="00660E8C" w:rsidP="00660E8C">
      <w:pPr>
        <w:spacing w:after="160" w:line="300" w:lineRule="auto"/>
        <w:jc w:val="both"/>
        <w:rPr>
          <w:rFonts w:ascii="Segoe UI" w:hAnsi="Segoe UI" w:cs="Segoe UI"/>
          <w:sz w:val="23"/>
          <w:szCs w:val="23"/>
        </w:rPr>
      </w:pPr>
      <w:r w:rsidRPr="00C725AB">
        <w:rPr>
          <w:rFonts w:ascii="Segoe UI" w:hAnsi="Segoe UI" w:cs="Segoe UI"/>
          <w:sz w:val="23"/>
          <w:szCs w:val="23"/>
        </w:rPr>
        <w:t xml:space="preserve">10.3. A dotação relativa aos exercícios financeiros subsequentes será indicada após </w:t>
      </w:r>
      <w:r w:rsidRPr="00FB0674">
        <w:rPr>
          <w:rFonts w:ascii="Segoe UI" w:hAnsi="Segoe UI" w:cs="Segoe UI"/>
          <w:sz w:val="23"/>
          <w:szCs w:val="23"/>
        </w:rPr>
        <w:t>aprovação da Lei Orçamentária respectiva e liberação dos créditos correspondentes, mediante apostilamento.</w:t>
      </w:r>
    </w:p>
    <w:p w:rsidR="00660E8C" w:rsidRDefault="00660E8C" w:rsidP="00660E8C">
      <w:pPr>
        <w:spacing w:before="100" w:beforeAutospacing="1" w:after="100" w:afterAutospacing="1"/>
        <w:jc w:val="center"/>
        <w:rPr>
          <w:rFonts w:ascii="Century Gothic" w:hAnsi="Century Gothic" w:cs="Segoe UI"/>
          <w:color w:val="FF0000"/>
          <w:sz w:val="23"/>
          <w:szCs w:val="23"/>
        </w:rPr>
      </w:pPr>
      <w:r w:rsidRPr="00FB0674">
        <w:rPr>
          <w:rFonts w:ascii="Century Gothic" w:hAnsi="Century Gothic" w:cs="Segoe UI"/>
          <w:sz w:val="23"/>
          <w:szCs w:val="23"/>
        </w:rPr>
        <w:t xml:space="preserve">Santo Antônio do Grama, </w:t>
      </w:r>
      <w:r w:rsidR="00FB0674" w:rsidRPr="00FB0674">
        <w:rPr>
          <w:rFonts w:ascii="Century Gothic" w:hAnsi="Century Gothic" w:cs="Segoe UI"/>
          <w:sz w:val="23"/>
          <w:szCs w:val="23"/>
        </w:rPr>
        <w:t>29</w:t>
      </w:r>
      <w:r w:rsidRPr="00FB0674">
        <w:rPr>
          <w:rFonts w:ascii="Century Gothic" w:hAnsi="Century Gothic" w:cs="Segoe UI"/>
          <w:sz w:val="23"/>
          <w:szCs w:val="23"/>
        </w:rPr>
        <w:t xml:space="preserve"> de </w:t>
      </w:r>
      <w:r w:rsidR="00FB0674" w:rsidRPr="00FB0674">
        <w:rPr>
          <w:rFonts w:ascii="Century Gothic" w:hAnsi="Century Gothic" w:cs="Segoe UI"/>
          <w:sz w:val="23"/>
          <w:szCs w:val="23"/>
        </w:rPr>
        <w:t>abril</w:t>
      </w:r>
      <w:r w:rsidRPr="00FB0674">
        <w:rPr>
          <w:rFonts w:ascii="Century Gothic" w:hAnsi="Century Gothic" w:cs="Segoe UI"/>
          <w:sz w:val="23"/>
          <w:szCs w:val="23"/>
        </w:rPr>
        <w:t xml:space="preserve"> de 2024</w:t>
      </w:r>
      <w:r w:rsidRPr="00FB0674">
        <w:rPr>
          <w:rFonts w:ascii="Century Gothic" w:hAnsi="Century Gothic" w:cs="Segoe UI"/>
          <w:sz w:val="23"/>
          <w:szCs w:val="23"/>
          <w:highlight w:val="yellow"/>
        </w:rPr>
        <w:t>.</w:t>
      </w:r>
    </w:p>
    <w:p w:rsidR="008868FD" w:rsidRPr="00D760C0" w:rsidRDefault="008868FD" w:rsidP="00660E8C">
      <w:pPr>
        <w:spacing w:before="100" w:beforeAutospacing="1" w:after="100" w:afterAutospacing="1"/>
        <w:jc w:val="center"/>
        <w:rPr>
          <w:rFonts w:ascii="Century Gothic" w:hAnsi="Century Gothic" w:cs="Segoe UI"/>
          <w:color w:val="FF0000"/>
          <w:sz w:val="23"/>
          <w:szCs w:val="23"/>
        </w:rPr>
      </w:pPr>
    </w:p>
    <w:p w:rsidR="008868FD" w:rsidRPr="008868FD" w:rsidRDefault="008868FD" w:rsidP="008868FD">
      <w:pPr>
        <w:jc w:val="center"/>
        <w:rPr>
          <w:rFonts w:ascii="Century Gothic" w:hAnsi="Century Gothic" w:cs="Segoe UI"/>
          <w:sz w:val="23"/>
          <w:szCs w:val="23"/>
        </w:rPr>
      </w:pPr>
      <w:r w:rsidRPr="008868FD">
        <w:rPr>
          <w:rFonts w:ascii="Century Gothic" w:hAnsi="Century Gothic" w:cs="Segoe UI"/>
          <w:sz w:val="23"/>
          <w:szCs w:val="23"/>
        </w:rPr>
        <w:t>Samuel de Sousa Ribeiro</w:t>
      </w:r>
    </w:p>
    <w:p w:rsidR="00820FA1" w:rsidRPr="008868FD" w:rsidRDefault="008868FD" w:rsidP="008868FD">
      <w:pPr>
        <w:jc w:val="center"/>
        <w:rPr>
          <w:b/>
          <w:sz w:val="18"/>
        </w:rPr>
      </w:pPr>
      <w:r w:rsidRPr="008868FD">
        <w:rPr>
          <w:rFonts w:ascii="Century Gothic" w:hAnsi="Century Gothic" w:cs="Segoe UI"/>
          <w:b/>
          <w:sz w:val="20"/>
          <w:szCs w:val="23"/>
        </w:rPr>
        <w:t>Secretário de Saúde</w:t>
      </w:r>
    </w:p>
    <w:sectPr w:rsidR="00820FA1" w:rsidRPr="008868F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CB0" w:rsidRDefault="00974CB0" w:rsidP="00660E8C">
      <w:r>
        <w:separator/>
      </w:r>
    </w:p>
  </w:endnote>
  <w:endnote w:type="continuationSeparator" w:id="0">
    <w:p w:rsidR="00974CB0" w:rsidRDefault="00974CB0" w:rsidP="0066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CB0" w:rsidRDefault="00974CB0" w:rsidP="00660E8C">
      <w:r>
        <w:separator/>
      </w:r>
    </w:p>
  </w:footnote>
  <w:footnote w:type="continuationSeparator" w:id="0">
    <w:p w:rsidR="00974CB0" w:rsidRDefault="00974CB0" w:rsidP="0066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8C" w:rsidRPr="005D50B3" w:rsidRDefault="00660E8C" w:rsidP="00660E8C">
    <w:pPr>
      <w:pStyle w:val="Cabealho"/>
      <w:jc w:val="center"/>
    </w:pPr>
    <w:bookmarkStart w:id="1" w:name="_Hlk187170771"/>
    <w:r>
      <w:rPr>
        <w:noProof/>
        <w:lang w:val="pt-BR" w:eastAsia="pt-BR"/>
      </w:rPr>
      <w:drawing>
        <wp:anchor distT="0" distB="0" distL="114300" distR="114300" simplePos="0" relativeHeight="251659264" behindDoc="0" locked="0" layoutInCell="1" allowOverlap="1" wp14:anchorId="68023EED" wp14:editId="3934FF8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60E8C" w:rsidRDefault="00660E8C" w:rsidP="00660E8C">
    <w:pPr>
      <w:pStyle w:val="Cabealho"/>
    </w:pPr>
  </w:p>
  <w:bookmarkEnd w:id="1"/>
  <w:p w:rsidR="00660E8C" w:rsidRDefault="00660E8C" w:rsidP="00660E8C">
    <w:pPr>
      <w:pStyle w:val="Cabealho"/>
    </w:pPr>
  </w:p>
  <w:p w:rsidR="00660E8C" w:rsidRDefault="00660E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8C"/>
    <w:rsid w:val="001652F5"/>
    <w:rsid w:val="001B074E"/>
    <w:rsid w:val="00340ACE"/>
    <w:rsid w:val="00660E8C"/>
    <w:rsid w:val="00687910"/>
    <w:rsid w:val="0075490A"/>
    <w:rsid w:val="00820FA1"/>
    <w:rsid w:val="008868FD"/>
    <w:rsid w:val="009462F1"/>
    <w:rsid w:val="00974CB0"/>
    <w:rsid w:val="009B71FF"/>
    <w:rsid w:val="00B9438E"/>
    <w:rsid w:val="00C6574D"/>
    <w:rsid w:val="00CC51CE"/>
    <w:rsid w:val="00D754B3"/>
    <w:rsid w:val="00FB0674"/>
    <w:rsid w:val="00FE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09B6A-CF2D-4A68-B660-9FC920C3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E8C"/>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660E8C"/>
    <w:rPr>
      <w:rFonts w:ascii="Arial" w:hAnsi="Arial" w:cs="Arial"/>
      <w:color w:val="000000"/>
    </w:rPr>
  </w:style>
  <w:style w:type="paragraph" w:customStyle="1" w:styleId="Nivel2">
    <w:name w:val="Nivel 2"/>
    <w:basedOn w:val="Normal"/>
    <w:link w:val="Nivel2Char"/>
    <w:qFormat/>
    <w:rsid w:val="00660E8C"/>
    <w:pPr>
      <w:widowControl/>
      <w:autoSpaceDE/>
      <w:autoSpaceDN/>
      <w:spacing w:before="120" w:after="120" w:line="276" w:lineRule="auto"/>
      <w:jc w:val="both"/>
    </w:pPr>
    <w:rPr>
      <w:rFonts w:ascii="Arial" w:eastAsiaTheme="minorHAnsi" w:hAnsi="Arial" w:cs="Arial"/>
      <w:color w:val="000000"/>
      <w:kern w:val="2"/>
      <w:lang w:val="pt-BR"/>
      <w14:ligatures w14:val="standardContextual"/>
    </w:rPr>
  </w:style>
  <w:style w:type="paragraph" w:styleId="Cabealho">
    <w:name w:val="header"/>
    <w:aliases w:val="Cabeçalho superior,Heading 1a,h,he,HeaderNN,hd"/>
    <w:basedOn w:val="Normal"/>
    <w:link w:val="CabealhoChar"/>
    <w:uiPriority w:val="99"/>
    <w:unhideWhenUsed/>
    <w:rsid w:val="00660E8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60E8C"/>
    <w:rPr>
      <w:rFonts w:ascii="Calibri" w:eastAsia="Calibri" w:hAnsi="Calibri" w:cs="Calibri"/>
      <w:kern w:val="0"/>
      <w:lang w:val="pt-PT"/>
      <w14:ligatures w14:val="none"/>
    </w:rPr>
  </w:style>
  <w:style w:type="paragraph" w:styleId="Rodap">
    <w:name w:val="footer"/>
    <w:basedOn w:val="Normal"/>
    <w:link w:val="RodapChar"/>
    <w:uiPriority w:val="99"/>
    <w:unhideWhenUsed/>
    <w:rsid w:val="00660E8C"/>
    <w:pPr>
      <w:tabs>
        <w:tab w:val="center" w:pos="4252"/>
        <w:tab w:val="right" w:pos="8504"/>
      </w:tabs>
    </w:pPr>
  </w:style>
  <w:style w:type="character" w:customStyle="1" w:styleId="RodapChar">
    <w:name w:val="Rodapé Char"/>
    <w:basedOn w:val="Fontepargpadro"/>
    <w:link w:val="Rodap"/>
    <w:uiPriority w:val="99"/>
    <w:rsid w:val="00660E8C"/>
    <w:rPr>
      <w:rFonts w:ascii="Calibri" w:eastAsia="Calibri" w:hAnsi="Calibri" w:cs="Calibri"/>
      <w:kern w:val="0"/>
      <w:lang w:val="pt-PT"/>
      <w14:ligatures w14:val="none"/>
    </w:rPr>
  </w:style>
  <w:style w:type="table" w:styleId="Tabelacomgrade">
    <w:name w:val="Table Grid"/>
    <w:basedOn w:val="Tabelanormal"/>
    <w:uiPriority w:val="39"/>
    <w:rsid w:val="0075490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1816</Words>
  <Characters>9809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dc:description/>
  <cp:lastModifiedBy>Conta da Microsoft</cp:lastModifiedBy>
  <cp:revision>5</cp:revision>
  <dcterms:created xsi:type="dcterms:W3CDTF">2025-03-26T14:20:00Z</dcterms:created>
  <dcterms:modified xsi:type="dcterms:W3CDTF">2025-06-09T13:14:00Z</dcterms:modified>
</cp:coreProperties>
</file>